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BBCE3" w14:textId="77777777" w:rsidR="00640CD3" w:rsidRPr="00100C98" w:rsidRDefault="00640CD3" w:rsidP="00262725">
      <w:pPr>
        <w:keepNext/>
        <w:keepLines/>
        <w:spacing w:after="0" w:line="276" w:lineRule="auto"/>
        <w:jc w:val="right"/>
        <w:outlineLvl w:val="0"/>
        <w:rPr>
          <w:rFonts w:ascii="Open Sans" w:eastAsiaTheme="majorEastAsia" w:hAnsi="Open Sans" w:cs="Open Sans"/>
        </w:rPr>
      </w:pPr>
      <w:r w:rsidRPr="00100C98">
        <w:rPr>
          <w:rFonts w:ascii="Open Sans" w:eastAsiaTheme="majorEastAsia" w:hAnsi="Open Sans" w:cs="Open Sans"/>
        </w:rPr>
        <w:t xml:space="preserve">Załącznik 2. </w:t>
      </w:r>
    </w:p>
    <w:p w14:paraId="4D40AFB9" w14:textId="42349BD4" w:rsidR="00640CD3" w:rsidRPr="00100C98" w:rsidRDefault="00640CD3" w:rsidP="00262725">
      <w:pPr>
        <w:keepNext/>
        <w:keepLines/>
        <w:spacing w:after="0" w:line="276" w:lineRule="auto"/>
        <w:jc w:val="right"/>
        <w:outlineLvl w:val="0"/>
        <w:rPr>
          <w:rFonts w:ascii="Open Sans" w:eastAsiaTheme="majorEastAsia" w:hAnsi="Open Sans" w:cs="Open Sans"/>
        </w:rPr>
      </w:pPr>
      <w:r w:rsidRPr="00100C98">
        <w:rPr>
          <w:rFonts w:ascii="Open Sans" w:eastAsiaTheme="majorEastAsia" w:hAnsi="Open Sans" w:cs="Open Sans"/>
        </w:rPr>
        <w:t>do Listy załączników do wniosku o dofinansowanie w ramach programu priorytetowego</w:t>
      </w:r>
    </w:p>
    <w:p w14:paraId="45A22FA3" w14:textId="77777777" w:rsidR="00640CD3" w:rsidRPr="00100C98" w:rsidRDefault="00640CD3" w:rsidP="00262725">
      <w:pPr>
        <w:keepNext/>
        <w:keepLines/>
        <w:spacing w:after="0" w:line="276" w:lineRule="auto"/>
        <w:jc w:val="right"/>
        <w:outlineLvl w:val="0"/>
        <w:rPr>
          <w:rFonts w:ascii="Open Sans" w:eastAsiaTheme="majorEastAsia" w:hAnsi="Open Sans" w:cs="Open Sans"/>
        </w:rPr>
      </w:pPr>
      <w:r w:rsidRPr="00100C98">
        <w:rPr>
          <w:rFonts w:ascii="Open Sans" w:eastAsiaTheme="majorEastAsia" w:hAnsi="Open Sans" w:cs="Open Sans"/>
        </w:rPr>
        <w:t xml:space="preserve">Współfinansowanie projektów realizowanych w ramach Programu Fundusze Europejskie na Infrastrukturę, Klimat, Środowisko 2021-2027 (FEnIKS), </w:t>
      </w:r>
    </w:p>
    <w:p w14:paraId="4F2832D7" w14:textId="7AF8C83C" w:rsidR="00B97ED1" w:rsidRPr="00100C98" w:rsidRDefault="00640CD3" w:rsidP="00262725">
      <w:pPr>
        <w:spacing w:after="0" w:line="276" w:lineRule="auto"/>
        <w:jc w:val="right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Część 4) Sieć ciepłownicza/chłodnicza efektywny system ciepłowniczy</w:t>
      </w:r>
    </w:p>
    <w:p w14:paraId="54334E9A" w14:textId="77777777" w:rsidR="00B97ED1" w:rsidRPr="00100C98" w:rsidRDefault="00B97ED1" w:rsidP="00262725">
      <w:pPr>
        <w:spacing w:after="0" w:line="276" w:lineRule="auto"/>
        <w:rPr>
          <w:rFonts w:ascii="Open Sans" w:hAnsi="Open Sans" w:cs="Open Sans"/>
        </w:rPr>
      </w:pPr>
    </w:p>
    <w:p w14:paraId="4F5B4462" w14:textId="77777777" w:rsidR="003E57CA" w:rsidRPr="00100C98" w:rsidRDefault="003E57CA" w:rsidP="00262725">
      <w:pPr>
        <w:spacing w:after="0" w:line="276" w:lineRule="auto"/>
        <w:rPr>
          <w:rFonts w:ascii="Open Sans" w:hAnsi="Open Sans" w:cs="Open Sans"/>
        </w:rPr>
      </w:pPr>
    </w:p>
    <w:p w14:paraId="215567D1" w14:textId="77777777" w:rsidR="00640CD3" w:rsidRPr="00100C98" w:rsidRDefault="00640CD3" w:rsidP="00262725">
      <w:pPr>
        <w:spacing w:after="0" w:line="276" w:lineRule="auto"/>
        <w:rPr>
          <w:rFonts w:ascii="Open Sans" w:hAnsi="Open Sans" w:cs="Open Sans"/>
        </w:rPr>
      </w:pPr>
    </w:p>
    <w:p w14:paraId="7B5B46A7" w14:textId="77777777" w:rsidR="00340988" w:rsidRPr="00100C98" w:rsidRDefault="006F4444" w:rsidP="00262725">
      <w:pPr>
        <w:spacing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  <w:r w:rsidRPr="00100C98">
        <w:rPr>
          <w:rFonts w:ascii="Open Sans" w:hAnsi="Open Sans" w:cs="Open Sans"/>
          <w:b/>
          <w:sz w:val="28"/>
          <w:szCs w:val="28"/>
        </w:rPr>
        <w:t>Metodyka wyliczenia maksymalnej wysokości dofinansowania</w:t>
      </w:r>
    </w:p>
    <w:p w14:paraId="30E4959D" w14:textId="77777777" w:rsidR="00640CD3" w:rsidRPr="00100C98" w:rsidRDefault="00640CD3" w:rsidP="00262725">
      <w:pPr>
        <w:spacing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</w:p>
    <w:p w14:paraId="0C48DB18" w14:textId="77777777" w:rsidR="00640CD3" w:rsidRPr="00100C98" w:rsidRDefault="00640CD3" w:rsidP="00262725">
      <w:pPr>
        <w:spacing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</w:p>
    <w:p w14:paraId="77B279D0" w14:textId="77777777" w:rsidR="00EB7037" w:rsidRPr="00100C98" w:rsidRDefault="00EB7037" w:rsidP="00262725">
      <w:pPr>
        <w:spacing w:after="0" w:line="276" w:lineRule="auto"/>
        <w:rPr>
          <w:rFonts w:ascii="Open Sans" w:hAnsi="Open Sans" w:cs="Open Sans"/>
        </w:rPr>
      </w:pPr>
    </w:p>
    <w:p w14:paraId="4F949292" w14:textId="6BDADC8E" w:rsidR="001F6D16" w:rsidRPr="00100C98" w:rsidRDefault="00B97ED1" w:rsidP="00262725">
      <w:pPr>
        <w:spacing w:after="0" w:line="276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Przy obliczaniu kwoty dofinansowania należy uwzględnić poniższe warunki</w:t>
      </w:r>
      <w:r w:rsidR="00713CE9" w:rsidRPr="00100C98">
        <w:rPr>
          <w:rFonts w:ascii="Open Sans" w:hAnsi="Open Sans" w:cs="Open Sans"/>
        </w:rPr>
        <w:t>. W</w:t>
      </w:r>
      <w:r w:rsidRPr="00100C98">
        <w:rPr>
          <w:rFonts w:ascii="Open Sans" w:hAnsi="Open Sans" w:cs="Open Sans"/>
        </w:rPr>
        <w:t>arunki muszą być spełnione</w:t>
      </w:r>
      <w:r w:rsidR="003E57CA" w:rsidRPr="00100C98">
        <w:rPr>
          <w:rFonts w:ascii="Open Sans" w:hAnsi="Open Sans" w:cs="Open Sans"/>
        </w:rPr>
        <w:t xml:space="preserve"> łącznie</w:t>
      </w:r>
      <w:r w:rsidRPr="00100C98">
        <w:rPr>
          <w:rFonts w:ascii="Open Sans" w:hAnsi="Open Sans" w:cs="Open Sans"/>
        </w:rPr>
        <w:t>.</w:t>
      </w:r>
    </w:p>
    <w:p w14:paraId="464C2D0B" w14:textId="111EBF40" w:rsidR="001F6D16" w:rsidRPr="00100C98" w:rsidRDefault="001F6D16" w:rsidP="00262725">
      <w:pPr>
        <w:spacing w:after="0" w:line="276" w:lineRule="auto"/>
        <w:rPr>
          <w:rFonts w:ascii="Open Sans" w:hAnsi="Open Sans" w:cs="Open Sans"/>
        </w:rPr>
      </w:pPr>
    </w:p>
    <w:p w14:paraId="639BAB2D" w14:textId="4F9B8A75" w:rsidR="001F6D16" w:rsidRPr="00100C98" w:rsidRDefault="001F6D16" w:rsidP="001F6D16">
      <w:pPr>
        <w:pStyle w:val="Akapitzlist"/>
        <w:numPr>
          <w:ilvl w:val="0"/>
          <w:numId w:val="8"/>
        </w:numPr>
        <w:spacing w:after="0" w:line="276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Warunki dotyczące dofinansowania wynikające z programu priorytetowego</w:t>
      </w:r>
    </w:p>
    <w:p w14:paraId="1D1B85B2" w14:textId="6089A5A6" w:rsidR="001F6D16" w:rsidRPr="00100C98" w:rsidRDefault="001F6D16" w:rsidP="001F6D16">
      <w:pPr>
        <w:pStyle w:val="Akapitzlist"/>
        <w:numPr>
          <w:ilvl w:val="0"/>
          <w:numId w:val="8"/>
        </w:numPr>
        <w:spacing w:after="0" w:line="276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Warunki dopuszczalności pomocy publicznej</w:t>
      </w:r>
    </w:p>
    <w:p w14:paraId="0CC61FB2" w14:textId="648A6527" w:rsidR="00EB7037" w:rsidRPr="00100C98" w:rsidRDefault="00EB7037" w:rsidP="00262725">
      <w:pPr>
        <w:spacing w:after="0" w:line="276" w:lineRule="auto"/>
        <w:rPr>
          <w:rFonts w:ascii="Open Sans" w:hAnsi="Open Sans" w:cs="Open Sans"/>
        </w:rPr>
      </w:pPr>
    </w:p>
    <w:p w14:paraId="2C5785B3" w14:textId="77777777" w:rsidR="00F72CD5" w:rsidRPr="00100C98" w:rsidRDefault="00F72CD5" w:rsidP="00262725">
      <w:pPr>
        <w:spacing w:after="0" w:line="276" w:lineRule="auto"/>
        <w:rPr>
          <w:rFonts w:ascii="Open Sans" w:hAnsi="Open Sans" w:cs="Open Sans"/>
        </w:rPr>
      </w:pPr>
    </w:p>
    <w:p w14:paraId="7179F7BC" w14:textId="77777777" w:rsidR="001F6D16" w:rsidRPr="00100C98" w:rsidRDefault="001F6D16" w:rsidP="00100C98">
      <w:pPr>
        <w:spacing w:after="0" w:line="276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Ad (1)</w:t>
      </w:r>
    </w:p>
    <w:p w14:paraId="0434AF27" w14:textId="13659984" w:rsidR="00713CE9" w:rsidRPr="00100C98" w:rsidRDefault="00713CE9" w:rsidP="00100C98">
      <w:pPr>
        <w:spacing w:after="0" w:line="276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Dofinansowanie musi zostać wyliczone oddzieln</w:t>
      </w:r>
      <w:r w:rsidR="00B212C1" w:rsidRPr="00100C98">
        <w:rPr>
          <w:rFonts w:ascii="Open Sans" w:hAnsi="Open Sans" w:cs="Open Sans"/>
        </w:rPr>
        <w:t>i</w:t>
      </w:r>
      <w:r w:rsidRPr="00100C98">
        <w:rPr>
          <w:rFonts w:ascii="Open Sans" w:hAnsi="Open Sans" w:cs="Open Sans"/>
        </w:rPr>
        <w:t>e dla poszczególnych form, tj.:</w:t>
      </w:r>
    </w:p>
    <w:p w14:paraId="078E79DE" w14:textId="2752B13F" w:rsidR="0004058E" w:rsidRPr="00100C98" w:rsidRDefault="00713CE9" w:rsidP="00262725">
      <w:pPr>
        <w:spacing w:after="0" w:line="276" w:lineRule="auto"/>
        <w:ind w:left="360" w:firstLine="348"/>
        <w:rPr>
          <w:rFonts w:ascii="Open Sans" w:hAnsi="Open Sans" w:cs="Open Sans"/>
        </w:rPr>
      </w:pPr>
      <w:bookmarkStart w:id="0" w:name="_Hlk180420464"/>
      <w:r w:rsidRPr="00100C98">
        <w:rPr>
          <w:rFonts w:ascii="Open Sans" w:hAnsi="Open Sans" w:cs="Open Sans"/>
        </w:rPr>
        <w:t>D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 xml:space="preserve"> </w:t>
      </w:r>
      <w:r w:rsidR="0004058E" w:rsidRPr="00100C98">
        <w:rPr>
          <w:rFonts w:ascii="Open Sans" w:hAnsi="Open Sans" w:cs="Open Sans"/>
        </w:rPr>
        <w:t xml:space="preserve"> - dotacja ze środków EFRR</w:t>
      </w:r>
    </w:p>
    <w:p w14:paraId="15B50F44" w14:textId="4972DE7A" w:rsidR="0004058E" w:rsidRPr="00100C98" w:rsidRDefault="00713CE9" w:rsidP="00262725">
      <w:pPr>
        <w:spacing w:after="0" w:line="276" w:lineRule="auto"/>
        <w:ind w:left="360" w:firstLine="348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P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 xml:space="preserve"> </w:t>
      </w:r>
      <w:r w:rsidR="0004058E" w:rsidRPr="00100C98">
        <w:rPr>
          <w:rFonts w:ascii="Open Sans" w:hAnsi="Open Sans" w:cs="Open Sans"/>
        </w:rPr>
        <w:t xml:space="preserve"> - pożyczka ze środków EFRR</w:t>
      </w:r>
    </w:p>
    <w:p w14:paraId="7242F212" w14:textId="32607D8F" w:rsidR="00713CE9" w:rsidRPr="00100C98" w:rsidRDefault="00713CE9" w:rsidP="00262725">
      <w:pPr>
        <w:spacing w:after="0" w:line="276" w:lineRule="auto"/>
        <w:ind w:left="360" w:firstLine="348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P</w:t>
      </w:r>
      <w:r w:rsidRPr="00100C98">
        <w:rPr>
          <w:rFonts w:ascii="Open Sans" w:hAnsi="Open Sans" w:cs="Open Sans"/>
          <w:vertAlign w:val="subscript"/>
        </w:rPr>
        <w:t>NF</w:t>
      </w:r>
      <w:r w:rsidR="0004058E" w:rsidRPr="00100C98">
        <w:rPr>
          <w:rFonts w:ascii="Open Sans" w:hAnsi="Open Sans" w:cs="Open Sans"/>
        </w:rPr>
        <w:t xml:space="preserve"> - pożyczka ze środków NFOŚiGW</w:t>
      </w:r>
    </w:p>
    <w:bookmarkEnd w:id="0"/>
    <w:p w14:paraId="61F19C80" w14:textId="77777777" w:rsidR="0004058E" w:rsidRPr="00100C98" w:rsidRDefault="0004058E" w:rsidP="00262725">
      <w:pPr>
        <w:spacing w:after="0" w:line="276" w:lineRule="auto"/>
        <w:ind w:left="360"/>
        <w:jc w:val="both"/>
        <w:rPr>
          <w:rFonts w:ascii="Open Sans" w:hAnsi="Open Sans" w:cs="Open Sans"/>
        </w:rPr>
      </w:pPr>
    </w:p>
    <w:p w14:paraId="2EDD2D29" w14:textId="146E2E44" w:rsidR="0004058E" w:rsidRPr="00100C98" w:rsidRDefault="0004058E" w:rsidP="00262725">
      <w:pPr>
        <w:spacing w:after="0" w:line="276" w:lineRule="auto"/>
        <w:ind w:left="360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gdzie muszą być spełnione łącznie warunki:</w:t>
      </w:r>
    </w:p>
    <w:p w14:paraId="0D660DE0" w14:textId="77777777" w:rsidR="0004058E" w:rsidRPr="00100C98" w:rsidRDefault="0004058E" w:rsidP="00262725">
      <w:pPr>
        <w:pStyle w:val="Akapitzlist"/>
        <w:spacing w:after="0" w:line="276" w:lineRule="auto"/>
        <w:jc w:val="both"/>
        <w:rPr>
          <w:rFonts w:ascii="Open Sans" w:hAnsi="Open Sans" w:cs="Open Sans"/>
        </w:rPr>
      </w:pPr>
    </w:p>
    <w:p w14:paraId="27BAB31A" w14:textId="65157E7B" w:rsidR="00D730CD" w:rsidRPr="00100C98" w:rsidRDefault="00EB7037" w:rsidP="00262725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Kwota dofinansowania </w:t>
      </w:r>
      <w:r w:rsidR="00BC7F8B" w:rsidRPr="00100C98">
        <w:rPr>
          <w:rFonts w:ascii="Open Sans" w:hAnsi="Open Sans" w:cs="Open Sans"/>
        </w:rPr>
        <w:t xml:space="preserve">ze środków EFRR (dotacja IF i Pożyczka IF) wynosi </w:t>
      </w:r>
      <w:r w:rsidR="00D730CD" w:rsidRPr="00100C98">
        <w:rPr>
          <w:rFonts w:ascii="Open Sans" w:hAnsi="Open Sans" w:cs="Open Sans"/>
        </w:rPr>
        <w:t xml:space="preserve">79,71% kosztów </w:t>
      </w:r>
      <w:r w:rsidR="00F2412D" w:rsidRPr="00100C98">
        <w:rPr>
          <w:rFonts w:ascii="Open Sans" w:hAnsi="Open Sans" w:cs="Open Sans"/>
        </w:rPr>
        <w:t xml:space="preserve">kwalifikowanych </w:t>
      </w:r>
      <w:r w:rsidR="00283E71" w:rsidRPr="00100C98">
        <w:rPr>
          <w:rFonts w:ascii="Open Sans" w:hAnsi="Open Sans" w:cs="Open Sans"/>
        </w:rPr>
        <w:t>(dalej „KK”)</w:t>
      </w:r>
      <w:r w:rsidR="0004058E" w:rsidRPr="00100C98">
        <w:rPr>
          <w:rFonts w:ascii="Open Sans" w:hAnsi="Open Sans" w:cs="Open Sans"/>
        </w:rPr>
        <w:t>,</w:t>
      </w:r>
    </w:p>
    <w:p w14:paraId="5A5274A7" w14:textId="0ADC7B04" w:rsidR="00BC7F8B" w:rsidRPr="00100C98" w:rsidRDefault="00BC7F8B" w:rsidP="00262725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Kwota dotacji IF nie może przekroczyć 49% kwoty dofinansowania ze środków EFRR</w:t>
      </w:r>
      <w:r w:rsidR="0004058E" w:rsidRPr="00100C98">
        <w:rPr>
          <w:rFonts w:ascii="Open Sans" w:hAnsi="Open Sans" w:cs="Open Sans"/>
        </w:rPr>
        <w:t>,</w:t>
      </w:r>
    </w:p>
    <w:p w14:paraId="7128085B" w14:textId="04A222FB" w:rsidR="00BC7F8B" w:rsidRPr="00100C98" w:rsidRDefault="00BC7F8B" w:rsidP="00262725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Kwota Pożyczki NFOŚiGW wynosi 20,29% kosztów</w:t>
      </w:r>
      <w:r w:rsidR="00F2412D" w:rsidRPr="00100C98">
        <w:rPr>
          <w:rFonts w:ascii="Open Sans" w:hAnsi="Open Sans" w:cs="Open Sans"/>
        </w:rPr>
        <w:t xml:space="preserve"> kwalifikowanych</w:t>
      </w:r>
      <w:r w:rsidR="00283E71" w:rsidRPr="00100C98">
        <w:rPr>
          <w:rFonts w:ascii="Open Sans" w:hAnsi="Open Sans" w:cs="Open Sans"/>
        </w:rPr>
        <w:t xml:space="preserve"> (dalej „KK”)</w:t>
      </w:r>
      <w:r w:rsidRPr="00100C98">
        <w:rPr>
          <w:rFonts w:ascii="Open Sans" w:hAnsi="Open Sans" w:cs="Open Sans"/>
        </w:rPr>
        <w:t xml:space="preserve">. </w:t>
      </w:r>
    </w:p>
    <w:p w14:paraId="162131AA" w14:textId="27D573CF" w:rsidR="00BC7F8B" w:rsidRPr="00100C98" w:rsidRDefault="00BC7F8B" w:rsidP="00262725">
      <w:pPr>
        <w:pStyle w:val="Akapitzlist"/>
        <w:spacing w:after="0" w:line="276" w:lineRule="auto"/>
        <w:jc w:val="both"/>
        <w:rPr>
          <w:rFonts w:ascii="Open Sans" w:hAnsi="Open Sans" w:cs="Open Sans"/>
        </w:rPr>
      </w:pPr>
    </w:p>
    <w:p w14:paraId="35F489FA" w14:textId="5BE8FCA6" w:rsidR="0015405C" w:rsidRPr="00100C98" w:rsidRDefault="0015405C" w:rsidP="00262725">
      <w:pPr>
        <w:spacing w:after="0" w:line="276" w:lineRule="auto"/>
        <w:rPr>
          <w:rFonts w:ascii="Open Sans" w:hAnsi="Open Sans" w:cs="Open Sans"/>
        </w:rPr>
      </w:pPr>
      <w:bookmarkStart w:id="1" w:name="_Hlk180419382"/>
      <w:r w:rsidRPr="00100C98">
        <w:rPr>
          <w:rFonts w:ascii="Open Sans" w:hAnsi="Open Sans" w:cs="Open Sans"/>
        </w:rPr>
        <w:t>Wielkość dotacji D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 xml:space="preserve">  i </w:t>
      </w:r>
      <w:r w:rsidR="00F24E53" w:rsidRPr="00100C98">
        <w:rPr>
          <w:rFonts w:ascii="Open Sans" w:hAnsi="Open Sans" w:cs="Open Sans"/>
        </w:rPr>
        <w:t xml:space="preserve"> pożyczki </w:t>
      </w:r>
      <w:r w:rsidRPr="00100C98">
        <w:rPr>
          <w:rFonts w:ascii="Open Sans" w:hAnsi="Open Sans" w:cs="Open Sans"/>
        </w:rPr>
        <w:t>P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 xml:space="preserve">  ze środków EFRR należy </w:t>
      </w:r>
      <w:r w:rsidR="001F6D16" w:rsidRPr="00100C98">
        <w:rPr>
          <w:rFonts w:ascii="Open Sans" w:hAnsi="Open Sans" w:cs="Open Sans"/>
        </w:rPr>
        <w:t xml:space="preserve">więc </w:t>
      </w:r>
      <w:r w:rsidRPr="00100C98">
        <w:rPr>
          <w:rFonts w:ascii="Open Sans" w:hAnsi="Open Sans" w:cs="Open Sans"/>
        </w:rPr>
        <w:t>wyliczyć w następując</w:t>
      </w:r>
      <w:r w:rsidR="00F24E53" w:rsidRPr="00100C98">
        <w:rPr>
          <w:rFonts w:ascii="Open Sans" w:hAnsi="Open Sans" w:cs="Open Sans"/>
        </w:rPr>
        <w:t>y</w:t>
      </w:r>
      <w:r w:rsidRPr="00100C98">
        <w:rPr>
          <w:rFonts w:ascii="Open Sans" w:hAnsi="Open Sans" w:cs="Open Sans"/>
        </w:rPr>
        <w:t xml:space="preserve"> sposób:</w:t>
      </w:r>
    </w:p>
    <w:p w14:paraId="5FF562A9" w14:textId="19F8EEA2" w:rsidR="0015405C" w:rsidRPr="00100C98" w:rsidRDefault="0015405C" w:rsidP="00262725">
      <w:pPr>
        <w:spacing w:after="0" w:line="276" w:lineRule="auto"/>
        <w:ind w:left="360" w:firstLine="348"/>
        <w:jc w:val="center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D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 xml:space="preserve">  </w:t>
      </w:r>
      <w:r w:rsidR="00F24E53" w:rsidRPr="00100C98">
        <w:rPr>
          <w:rFonts w:ascii="Open Sans" w:hAnsi="Open Sans" w:cs="Open Sans"/>
        </w:rPr>
        <w:t>+ P</w:t>
      </w:r>
      <w:r w:rsidR="00F24E53" w:rsidRPr="00100C98">
        <w:rPr>
          <w:rFonts w:ascii="Open Sans" w:hAnsi="Open Sans" w:cs="Open Sans"/>
          <w:vertAlign w:val="subscript"/>
        </w:rPr>
        <w:t>IF</w:t>
      </w:r>
      <w:r w:rsidR="00F24E53" w:rsidRPr="00100C98">
        <w:rPr>
          <w:rFonts w:ascii="Open Sans" w:hAnsi="Open Sans" w:cs="Open Sans"/>
        </w:rPr>
        <w:t xml:space="preserve"> = 79,71 % </w:t>
      </w:r>
      <w:r w:rsidR="00283E71" w:rsidRPr="00100C98">
        <w:rPr>
          <w:rFonts w:ascii="Open Sans" w:eastAsiaTheme="minorEastAsia" w:hAnsi="Open Sans" w:cs="Open Sans"/>
        </w:rPr>
        <w:t>KK</w:t>
      </w:r>
    </w:p>
    <w:bookmarkEnd w:id="1"/>
    <w:p w14:paraId="6FF731CF" w14:textId="77777777" w:rsidR="00F24E53" w:rsidRPr="00100C98" w:rsidRDefault="00F24E53" w:rsidP="00262725">
      <w:pPr>
        <w:spacing w:after="0" w:line="276" w:lineRule="auto"/>
        <w:jc w:val="both"/>
        <w:rPr>
          <w:rFonts w:ascii="Open Sans" w:hAnsi="Open Sans" w:cs="Open Sans"/>
        </w:rPr>
      </w:pPr>
    </w:p>
    <w:p w14:paraId="02025D81" w14:textId="08D9FD72" w:rsidR="0015405C" w:rsidRPr="00100C98" w:rsidRDefault="00F24E53" w:rsidP="00100C98">
      <w:pPr>
        <w:spacing w:after="0" w:line="276" w:lineRule="auto"/>
        <w:ind w:firstLine="360"/>
        <w:jc w:val="center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jednocześnie D</w:t>
      </w:r>
      <w:r w:rsidRPr="00100C98">
        <w:rPr>
          <w:rFonts w:ascii="Open Sans" w:hAnsi="Open Sans" w:cs="Open Sans"/>
          <w:vertAlign w:val="subscript"/>
        </w:rPr>
        <w:t xml:space="preserve">IF </w:t>
      </w:r>
      <w:r w:rsidRPr="00100C98">
        <w:rPr>
          <w:rFonts w:ascii="Open Sans" w:hAnsi="Open Sans" w:cs="Open Sans"/>
        </w:rPr>
        <w:t>≤ 49% (D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 xml:space="preserve">  + P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>)</w:t>
      </w:r>
    </w:p>
    <w:p w14:paraId="688F3E85" w14:textId="77777777" w:rsidR="0015405C" w:rsidRPr="00100C98" w:rsidRDefault="0015405C" w:rsidP="00262725">
      <w:pPr>
        <w:spacing w:after="0" w:line="276" w:lineRule="auto"/>
        <w:jc w:val="both"/>
        <w:rPr>
          <w:rFonts w:ascii="Open Sans" w:hAnsi="Open Sans" w:cs="Open Sans"/>
        </w:rPr>
      </w:pPr>
    </w:p>
    <w:p w14:paraId="6EC34CA2" w14:textId="7BFF0775" w:rsidR="00F24E53" w:rsidRPr="00100C98" w:rsidRDefault="00F24E53" w:rsidP="00262725">
      <w:pPr>
        <w:spacing w:after="0" w:line="276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Wielkość pożyczki P</w:t>
      </w:r>
      <w:r w:rsidRPr="00100C98">
        <w:rPr>
          <w:rFonts w:ascii="Open Sans" w:hAnsi="Open Sans" w:cs="Open Sans"/>
          <w:vertAlign w:val="subscript"/>
        </w:rPr>
        <w:t>NF</w:t>
      </w:r>
      <w:r w:rsidRPr="00100C98">
        <w:rPr>
          <w:rFonts w:ascii="Open Sans" w:hAnsi="Open Sans" w:cs="Open Sans"/>
        </w:rPr>
        <w:t xml:space="preserve">  ze środków NFOŚiGW wyliczyć w następujący sposób:</w:t>
      </w:r>
    </w:p>
    <w:p w14:paraId="48C9740E" w14:textId="77777777" w:rsidR="0026712A" w:rsidRPr="00100C98" w:rsidRDefault="0026712A" w:rsidP="00262725">
      <w:pPr>
        <w:spacing w:after="0" w:line="276" w:lineRule="auto"/>
        <w:rPr>
          <w:rFonts w:ascii="Open Sans" w:hAnsi="Open Sans" w:cs="Open Sans"/>
        </w:rPr>
      </w:pPr>
    </w:p>
    <w:p w14:paraId="555FCEEF" w14:textId="72390435" w:rsidR="00F24E53" w:rsidRPr="00100C98" w:rsidRDefault="00F24E53" w:rsidP="0026712A">
      <w:pPr>
        <w:spacing w:after="0" w:line="276" w:lineRule="auto"/>
        <w:ind w:left="360" w:firstLine="348"/>
        <w:jc w:val="center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P</w:t>
      </w:r>
      <w:r w:rsidRPr="00100C98">
        <w:rPr>
          <w:rFonts w:ascii="Open Sans" w:hAnsi="Open Sans" w:cs="Open Sans"/>
          <w:vertAlign w:val="subscript"/>
        </w:rPr>
        <w:t>NF</w:t>
      </w:r>
      <w:r w:rsidRPr="00100C98">
        <w:rPr>
          <w:rFonts w:ascii="Open Sans" w:hAnsi="Open Sans" w:cs="Open Sans"/>
        </w:rPr>
        <w:t xml:space="preserve"> = 20,29 % </w:t>
      </w:r>
      <w:r w:rsidR="00283E71" w:rsidRPr="00100C98">
        <w:rPr>
          <w:rFonts w:ascii="Open Sans" w:eastAsiaTheme="minorEastAsia" w:hAnsi="Open Sans" w:cs="Open Sans"/>
        </w:rPr>
        <w:t xml:space="preserve"> KK</w:t>
      </w:r>
    </w:p>
    <w:p w14:paraId="2B2DEF06" w14:textId="55457A8D" w:rsidR="00B93B31" w:rsidRPr="00100C98" w:rsidRDefault="00B93B31" w:rsidP="00100C98">
      <w:pPr>
        <w:pStyle w:val="pf0"/>
        <w:jc w:val="both"/>
        <w:rPr>
          <w:rFonts w:ascii="Open Sans" w:hAnsi="Open Sans" w:cs="Open Sans"/>
          <w:sz w:val="22"/>
          <w:szCs w:val="22"/>
        </w:rPr>
      </w:pPr>
      <w:r w:rsidRPr="00100C98">
        <w:rPr>
          <w:rFonts w:ascii="Open Sans" w:hAnsi="Open Sans" w:cs="Open Sans"/>
          <w:sz w:val="22"/>
          <w:szCs w:val="22"/>
        </w:rPr>
        <w:t>Koszty kwalifikowane (KK) muszą być zgodne z zapisami zawartymi w punkcie 6. Programu Priorytetowego</w:t>
      </w:r>
      <w:bookmarkStart w:id="2" w:name="_Hlk181003071"/>
      <w:r w:rsidR="00E6349A" w:rsidRPr="00100C98">
        <w:rPr>
          <w:rFonts w:ascii="Open Sans" w:hAnsi="Open Sans" w:cs="Open Sans"/>
          <w:sz w:val="22"/>
          <w:szCs w:val="22"/>
        </w:rPr>
        <w:t>,</w:t>
      </w:r>
      <w:r w:rsidRPr="00100C98">
        <w:rPr>
          <w:rFonts w:ascii="Open Sans" w:hAnsi="Open Sans" w:cs="Open Sans"/>
          <w:sz w:val="22"/>
          <w:szCs w:val="22"/>
        </w:rPr>
        <w:t xml:space="preserve"> tj.</w:t>
      </w:r>
      <w:r w:rsidR="00C4298C" w:rsidRPr="00100C98">
        <w:rPr>
          <w:rFonts w:ascii="Open Sans" w:hAnsi="Open Sans" w:cs="Open Sans"/>
          <w:sz w:val="22"/>
          <w:szCs w:val="22"/>
        </w:rPr>
        <w:t xml:space="preserve"> </w:t>
      </w:r>
      <w:bookmarkEnd w:id="2"/>
      <w:r w:rsidR="00C4298C" w:rsidRPr="00100C98">
        <w:rPr>
          <w:rFonts w:ascii="Open Sans" w:hAnsi="Open Sans" w:cs="Open Sans"/>
          <w:sz w:val="22"/>
          <w:szCs w:val="22"/>
        </w:rPr>
        <w:t>z</w:t>
      </w:r>
      <w:r w:rsidR="00BC4E29" w:rsidRPr="00100C98">
        <w:rPr>
          <w:rFonts w:ascii="Open Sans" w:hAnsi="Open Sans" w:cs="Open Sans"/>
          <w:sz w:val="22"/>
          <w:szCs w:val="22"/>
        </w:rPr>
        <w:t>akres k</w:t>
      </w:r>
      <w:r w:rsidRPr="00100C98">
        <w:rPr>
          <w:rFonts w:ascii="Open Sans" w:hAnsi="Open Sans" w:cs="Open Sans"/>
          <w:sz w:val="22"/>
          <w:szCs w:val="22"/>
        </w:rPr>
        <w:t>oszt</w:t>
      </w:r>
      <w:r w:rsidR="00BC4E29" w:rsidRPr="00100C98">
        <w:rPr>
          <w:rFonts w:ascii="Open Sans" w:hAnsi="Open Sans" w:cs="Open Sans"/>
          <w:sz w:val="22"/>
          <w:szCs w:val="22"/>
        </w:rPr>
        <w:t>ów</w:t>
      </w:r>
      <w:r w:rsidRPr="00100C98">
        <w:rPr>
          <w:rFonts w:ascii="Open Sans" w:hAnsi="Open Sans" w:cs="Open Sans"/>
          <w:sz w:val="22"/>
          <w:szCs w:val="22"/>
        </w:rPr>
        <w:t xml:space="preserve"> kwalifikowan</w:t>
      </w:r>
      <w:r w:rsidR="00BC4E29" w:rsidRPr="00100C98">
        <w:rPr>
          <w:rFonts w:ascii="Open Sans" w:hAnsi="Open Sans" w:cs="Open Sans"/>
          <w:sz w:val="22"/>
          <w:szCs w:val="22"/>
        </w:rPr>
        <w:t>ych</w:t>
      </w:r>
      <w:r w:rsidRPr="00100C98">
        <w:rPr>
          <w:rFonts w:ascii="Open Sans" w:hAnsi="Open Sans" w:cs="Open Sans"/>
          <w:sz w:val="22"/>
          <w:szCs w:val="22"/>
        </w:rPr>
        <w:t xml:space="preserve"> ustalan</w:t>
      </w:r>
      <w:r w:rsidR="00BC4E29" w:rsidRPr="00100C98">
        <w:rPr>
          <w:rFonts w:ascii="Open Sans" w:hAnsi="Open Sans" w:cs="Open Sans"/>
          <w:sz w:val="22"/>
          <w:szCs w:val="22"/>
        </w:rPr>
        <w:t>y</w:t>
      </w:r>
      <w:r w:rsidRPr="00100C98">
        <w:rPr>
          <w:rFonts w:ascii="Open Sans" w:hAnsi="Open Sans" w:cs="Open Sans"/>
          <w:sz w:val="22"/>
          <w:szCs w:val="22"/>
        </w:rPr>
        <w:t xml:space="preserve"> </w:t>
      </w:r>
      <w:r w:rsidR="00BC4E29" w:rsidRPr="00100C98">
        <w:rPr>
          <w:rFonts w:ascii="Open Sans" w:hAnsi="Open Sans" w:cs="Open Sans"/>
          <w:sz w:val="22"/>
          <w:szCs w:val="22"/>
        </w:rPr>
        <w:t>jest</w:t>
      </w:r>
      <w:r w:rsidRPr="00100C98">
        <w:rPr>
          <w:rFonts w:ascii="Open Sans" w:hAnsi="Open Sans" w:cs="Open Sans"/>
          <w:sz w:val="22"/>
          <w:szCs w:val="22"/>
        </w:rPr>
        <w:t xml:space="preserve"> zgodnie z „Wytycznymi w zakresie kosztów kwalifikowanych", z zastrzeżeniem, że:</w:t>
      </w:r>
    </w:p>
    <w:p w14:paraId="1C379665" w14:textId="77777777" w:rsidR="00B93B31" w:rsidRPr="00100C98" w:rsidRDefault="00B93B31" w:rsidP="00C4298C">
      <w:pPr>
        <w:pStyle w:val="Akapitzlist"/>
        <w:numPr>
          <w:ilvl w:val="1"/>
          <w:numId w:val="14"/>
        </w:numPr>
        <w:spacing w:after="120"/>
        <w:ind w:left="709" w:hanging="425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koszty związane z przygotowaniem przedsięwzięcia kwalifikuje się do wysokości nieprzekraczającej 10% sumy kosztów kwalifikowanych przedsięwzięcia,</w:t>
      </w:r>
    </w:p>
    <w:p w14:paraId="1B915E2C" w14:textId="77777777" w:rsidR="00B93B31" w:rsidRPr="00100C98" w:rsidRDefault="00B93B31" w:rsidP="00C4298C">
      <w:pPr>
        <w:pStyle w:val="Akapitzlist"/>
        <w:numPr>
          <w:ilvl w:val="1"/>
          <w:numId w:val="14"/>
        </w:numPr>
        <w:spacing w:after="120"/>
        <w:ind w:left="709" w:hanging="425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koszty związane z zarządzaniem przedsięwzięciem kwalifikuje się do wysokości nieprzekraczającej 10% kosztów kwalifikowanych przedsięwzięcia,</w:t>
      </w:r>
    </w:p>
    <w:p w14:paraId="32D68607" w14:textId="77777777" w:rsidR="00B93B31" w:rsidRPr="00100C98" w:rsidRDefault="00B93B31" w:rsidP="00C4298C">
      <w:pPr>
        <w:pStyle w:val="Akapitzlist"/>
        <w:numPr>
          <w:ilvl w:val="1"/>
          <w:numId w:val="14"/>
        </w:numPr>
        <w:spacing w:after="120"/>
        <w:ind w:left="709" w:hanging="425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koszty nabycia nieruchomości kwalifikuje się do wysokości nieprzekraczającej 10% kosztów kwalifikowanych przedsięwzięcia,</w:t>
      </w:r>
    </w:p>
    <w:p w14:paraId="6AE09A09" w14:textId="77777777" w:rsidR="00B93B31" w:rsidRPr="00100C98" w:rsidRDefault="00B93B31" w:rsidP="00C4298C">
      <w:pPr>
        <w:pStyle w:val="Akapitzlist"/>
        <w:numPr>
          <w:ilvl w:val="1"/>
          <w:numId w:val="14"/>
        </w:numPr>
        <w:spacing w:after="120"/>
        <w:ind w:left="709" w:hanging="425"/>
        <w:jc w:val="both"/>
        <w:rPr>
          <w:rFonts w:ascii="Open Sans" w:hAnsi="Open Sans" w:cs="Open Sans"/>
        </w:rPr>
      </w:pPr>
      <w:r w:rsidRPr="00100C98">
        <w:rPr>
          <w:rStyle w:val="ui-provider"/>
          <w:rFonts w:ascii="Open Sans" w:hAnsi="Open Sans" w:cs="Open Sans"/>
        </w:rPr>
        <w:t>dopuszcza się ponoszenie kosztów związanych z działaniami edukacyjnymi w zakresie podnoszenia świadomości ekologicznej społeczeństwa oraz/albo na współpracę, w tym wymianę wiedzy i doświadczeń oraz konsultacje, z partnerami z innych Państw Członkowskich. Działania te są nieobligatoryjne, ale w przypadku ich wystąpienia w ramach przedsięwzięcia inwestycyjnego zgłoszonego we wniosku o dofinansowanie, są kwalifikowane  do wysokości nieprzekraczającej 5% sumy kosztów kwalifikowanych przedsięwzięcia,</w:t>
      </w:r>
    </w:p>
    <w:p w14:paraId="45824B82" w14:textId="657B486A" w:rsidR="00B93B31" w:rsidRPr="00100C98" w:rsidRDefault="00B93B31" w:rsidP="00C4298C">
      <w:pPr>
        <w:pStyle w:val="Akapitzlist"/>
        <w:numPr>
          <w:ilvl w:val="1"/>
          <w:numId w:val="14"/>
        </w:numPr>
        <w:spacing w:after="120"/>
        <w:ind w:left="709" w:hanging="425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koszty związane z wartościami niematerialnymi i prawnymi kwalifikuje się do wysokości nieprzekraczającej 20% kosztów kwalifikowanych przedsięwzięcia</w:t>
      </w:r>
      <w:r w:rsidR="00E6349A" w:rsidRPr="00100C98">
        <w:rPr>
          <w:rFonts w:ascii="Open Sans" w:hAnsi="Open Sans" w:cs="Open Sans"/>
        </w:rPr>
        <w:t>.</w:t>
      </w:r>
    </w:p>
    <w:p w14:paraId="479BB286" w14:textId="77777777" w:rsidR="00B93B31" w:rsidRPr="00100C98" w:rsidRDefault="00B93B31" w:rsidP="00262725">
      <w:pPr>
        <w:spacing w:after="0" w:line="276" w:lineRule="auto"/>
        <w:ind w:left="360"/>
        <w:rPr>
          <w:rFonts w:ascii="Open Sans" w:hAnsi="Open Sans" w:cs="Open Sans"/>
        </w:rPr>
      </w:pPr>
    </w:p>
    <w:p w14:paraId="7E4252D9" w14:textId="5B4041D5" w:rsidR="009936CD" w:rsidRPr="00100C98" w:rsidRDefault="009936CD" w:rsidP="00BC4E29">
      <w:pPr>
        <w:spacing w:after="0" w:line="276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Na koszt</w:t>
      </w:r>
      <w:r w:rsidR="00D730CD" w:rsidRPr="00100C98">
        <w:rPr>
          <w:rFonts w:ascii="Open Sans" w:hAnsi="Open Sans" w:cs="Open Sans"/>
        </w:rPr>
        <w:t xml:space="preserve">y </w:t>
      </w:r>
      <w:r w:rsidR="00F2412D" w:rsidRPr="00100C98">
        <w:rPr>
          <w:rFonts w:ascii="Open Sans" w:hAnsi="Open Sans" w:cs="Open Sans"/>
        </w:rPr>
        <w:t xml:space="preserve">kwalifikowane </w:t>
      </w:r>
      <w:r w:rsidR="00BC4E29" w:rsidRPr="00100C98">
        <w:rPr>
          <w:rFonts w:ascii="Open Sans" w:hAnsi="Open Sans" w:cs="Open Sans"/>
        </w:rPr>
        <w:t xml:space="preserve">w ramach projektu </w:t>
      </w:r>
      <w:r w:rsidRPr="00100C98">
        <w:rPr>
          <w:rFonts w:ascii="Open Sans" w:hAnsi="Open Sans" w:cs="Open Sans"/>
        </w:rPr>
        <w:t>składają się:</w:t>
      </w:r>
    </w:p>
    <w:p w14:paraId="4488C04E" w14:textId="2FEE17AF" w:rsidR="00E31588" w:rsidRPr="00100C98" w:rsidRDefault="00E31588" w:rsidP="00262725">
      <w:pPr>
        <w:spacing w:after="0" w:line="276" w:lineRule="auto"/>
        <w:ind w:left="360"/>
        <w:jc w:val="center"/>
        <w:rPr>
          <w:rFonts w:ascii="Open Sans" w:hAnsi="Open Sans" w:cs="Open Sans"/>
        </w:rPr>
      </w:pPr>
      <w:r w:rsidRPr="00100C98">
        <w:rPr>
          <w:rFonts w:ascii="Open Sans" w:eastAsiaTheme="minorEastAsia" w:hAnsi="Open Sans" w:cs="Open Sans"/>
        </w:rPr>
        <w:t xml:space="preserve">KK =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sieci</m:t>
            </m:r>
          </m:sub>
        </m:sSub>
      </m:oMath>
      <w:r w:rsidRPr="00100C98">
        <w:rPr>
          <w:rFonts w:ascii="Open Sans" w:eastAsiaTheme="minorEastAsia" w:hAnsi="Open Sans" w:cs="Open Sans"/>
        </w:rPr>
        <w:t xml:space="preserve"> +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mag</m:t>
            </m:r>
          </m:sub>
        </m:sSub>
      </m:oMath>
      <w:r w:rsidRPr="00100C98">
        <w:rPr>
          <w:rFonts w:ascii="Open Sans" w:eastAsiaTheme="minorEastAsia" w:hAnsi="Open Sans" w:cs="Open Sans"/>
        </w:rPr>
        <w:t xml:space="preserve"> +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oze</m:t>
            </m:r>
          </m:sub>
        </m:sSub>
      </m:oMath>
      <w:r w:rsidRPr="00100C98">
        <w:rPr>
          <w:rFonts w:ascii="Open Sans" w:eastAsiaTheme="minorEastAsia" w:hAnsi="Open Sans" w:cs="Open Sans"/>
        </w:rPr>
        <w:t xml:space="preserve"> +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edu</m:t>
            </m:r>
          </m:sub>
        </m:sSub>
      </m:oMath>
    </w:p>
    <w:p w14:paraId="357B6A9F" w14:textId="77777777" w:rsidR="00E31588" w:rsidRPr="00100C98" w:rsidRDefault="00E31588" w:rsidP="00262725">
      <w:pPr>
        <w:spacing w:after="0" w:line="276" w:lineRule="auto"/>
        <w:ind w:left="360"/>
        <w:jc w:val="both"/>
        <w:rPr>
          <w:rFonts w:ascii="Open Sans" w:hAnsi="Open Sans" w:cs="Open Sans"/>
        </w:rPr>
      </w:pPr>
    </w:p>
    <w:p w14:paraId="7FFA2E6E" w14:textId="5137E9D3" w:rsidR="00E31588" w:rsidRPr="00100C98" w:rsidRDefault="00E31588" w:rsidP="00262725">
      <w:pPr>
        <w:spacing w:after="0" w:line="276" w:lineRule="auto"/>
        <w:ind w:left="360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gdzie:</w:t>
      </w:r>
    </w:p>
    <w:p w14:paraId="4E38537A" w14:textId="77777777" w:rsidR="00915FF9" w:rsidRPr="00100C98" w:rsidRDefault="00915FF9" w:rsidP="00262725">
      <w:pPr>
        <w:spacing w:after="0" w:line="276" w:lineRule="auto"/>
        <w:ind w:left="360"/>
        <w:rPr>
          <w:rFonts w:ascii="Open Sans" w:hAnsi="Open Sans" w:cs="Open Sans"/>
        </w:rPr>
      </w:pPr>
    </w:p>
    <w:p w14:paraId="075FF792" w14:textId="250B7FE2" w:rsidR="00E31588" w:rsidRPr="00100C98" w:rsidRDefault="00100C98" w:rsidP="00262725">
      <w:pPr>
        <w:spacing w:after="0" w:line="276" w:lineRule="auto"/>
        <w:ind w:left="360"/>
        <w:rPr>
          <w:rFonts w:ascii="Open Sans" w:hAnsi="Open Sans" w:cs="Open Sans"/>
        </w:rPr>
      </w:pP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sieci</m:t>
            </m:r>
          </m:sub>
        </m:sSub>
      </m:oMath>
      <w:r w:rsidR="00E31588" w:rsidRPr="00100C98">
        <w:rPr>
          <w:rFonts w:ascii="Open Sans" w:hAnsi="Open Sans" w:cs="Open Sans"/>
        </w:rPr>
        <w:t xml:space="preserve"> - koszty </w:t>
      </w:r>
      <w:r w:rsidR="00F2412D" w:rsidRPr="00100C98">
        <w:rPr>
          <w:rFonts w:ascii="Open Sans" w:hAnsi="Open Sans" w:cs="Open Sans"/>
        </w:rPr>
        <w:t>kwalifikowane</w:t>
      </w:r>
      <w:r w:rsidR="00864E99" w:rsidRPr="00100C98">
        <w:rPr>
          <w:rFonts w:ascii="Open Sans" w:hAnsi="Open Sans" w:cs="Open Sans"/>
        </w:rPr>
        <w:t xml:space="preserve"> </w:t>
      </w:r>
      <w:r w:rsidR="00E31588" w:rsidRPr="00100C98">
        <w:rPr>
          <w:rFonts w:ascii="Open Sans" w:hAnsi="Open Sans" w:cs="Open Sans"/>
        </w:rPr>
        <w:t>inwestycyjne</w:t>
      </w:r>
      <w:r w:rsidR="00E6349A" w:rsidRPr="00100C98">
        <w:rPr>
          <w:rFonts w:ascii="Open Sans" w:hAnsi="Open Sans" w:cs="Open Sans"/>
        </w:rPr>
        <w:t xml:space="preserve"> dotyczące sieci ciepłowniczych</w:t>
      </w:r>
      <w:r w:rsidR="00E31588" w:rsidRPr="00100C98">
        <w:rPr>
          <w:rFonts w:ascii="Open Sans" w:hAnsi="Open Sans" w:cs="Open Sans"/>
        </w:rPr>
        <w:t xml:space="preserve"> </w:t>
      </w:r>
    </w:p>
    <w:p w14:paraId="08A94D7A" w14:textId="77777777" w:rsidR="00915FF9" w:rsidRPr="00100C98" w:rsidRDefault="00915FF9" w:rsidP="00262725">
      <w:pPr>
        <w:spacing w:after="0" w:line="276" w:lineRule="auto"/>
        <w:ind w:left="360"/>
        <w:rPr>
          <w:rFonts w:ascii="Open Sans" w:hAnsi="Open Sans" w:cs="Open Sans"/>
        </w:rPr>
      </w:pPr>
    </w:p>
    <w:p w14:paraId="30277C11" w14:textId="177AB5B3" w:rsidR="00E31588" w:rsidRPr="00100C98" w:rsidRDefault="00100C98" w:rsidP="00262725">
      <w:pPr>
        <w:spacing w:after="0" w:line="276" w:lineRule="auto"/>
        <w:ind w:left="360"/>
        <w:rPr>
          <w:rFonts w:ascii="Open Sans" w:hAnsi="Open Sans" w:cs="Open Sans"/>
        </w:rPr>
      </w:pP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mag</m:t>
            </m:r>
          </m:sub>
        </m:sSub>
      </m:oMath>
      <w:r w:rsidR="00E31588" w:rsidRPr="00100C98">
        <w:rPr>
          <w:rFonts w:ascii="Open Sans" w:hAnsi="Open Sans" w:cs="Open Sans"/>
        </w:rPr>
        <w:t xml:space="preserve"> - koszty </w:t>
      </w:r>
      <w:r w:rsidR="00AF3B59" w:rsidRPr="00100C98">
        <w:rPr>
          <w:rFonts w:ascii="Open Sans" w:hAnsi="Open Sans" w:cs="Open Sans"/>
        </w:rPr>
        <w:t xml:space="preserve">kwalifikowane </w:t>
      </w:r>
      <w:r w:rsidR="00E31588" w:rsidRPr="00100C98">
        <w:rPr>
          <w:rFonts w:ascii="Open Sans" w:hAnsi="Open Sans" w:cs="Open Sans"/>
        </w:rPr>
        <w:t>inwestycyjne magazynów ciepła</w:t>
      </w:r>
    </w:p>
    <w:p w14:paraId="111D2725" w14:textId="77777777" w:rsidR="00E31588" w:rsidRPr="00100C98" w:rsidRDefault="00E31588" w:rsidP="00242ADB">
      <w:pPr>
        <w:spacing w:after="0" w:line="276" w:lineRule="auto"/>
        <w:rPr>
          <w:rFonts w:ascii="Open Sans" w:hAnsi="Open Sans" w:cs="Open Sans"/>
        </w:rPr>
      </w:pPr>
    </w:p>
    <w:p w14:paraId="77CDDEF6" w14:textId="3DC4053B" w:rsidR="00E31588" w:rsidRPr="00100C98" w:rsidRDefault="00100C98" w:rsidP="00262725">
      <w:pPr>
        <w:spacing w:after="0" w:line="276" w:lineRule="auto"/>
        <w:ind w:left="360"/>
        <w:rPr>
          <w:rFonts w:ascii="Open Sans" w:hAnsi="Open Sans" w:cs="Open Sans"/>
        </w:rPr>
      </w:pP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oze</m:t>
            </m:r>
          </m:sub>
        </m:sSub>
      </m:oMath>
      <w:r w:rsidR="00E31588" w:rsidRPr="00100C98">
        <w:rPr>
          <w:rFonts w:ascii="Open Sans" w:hAnsi="Open Sans" w:cs="Open Sans"/>
        </w:rPr>
        <w:t xml:space="preserve"> - koszty kwalifiko</w:t>
      </w:r>
      <w:r w:rsidR="009F7F19" w:rsidRPr="00100C98">
        <w:rPr>
          <w:rFonts w:ascii="Open Sans" w:hAnsi="Open Sans" w:cs="Open Sans"/>
        </w:rPr>
        <w:t>wane</w:t>
      </w:r>
      <w:r w:rsidR="00E31588" w:rsidRPr="00100C98">
        <w:rPr>
          <w:rFonts w:ascii="Open Sans" w:hAnsi="Open Sans" w:cs="Open Sans"/>
        </w:rPr>
        <w:t xml:space="preserve"> inwestycyjne</w:t>
      </w:r>
      <w:r w:rsidR="00B83739" w:rsidRPr="00100C98">
        <w:rPr>
          <w:rFonts w:ascii="Open Sans" w:hAnsi="Open Sans" w:cs="Open Sans"/>
        </w:rPr>
        <w:t xml:space="preserve"> </w:t>
      </w:r>
      <w:r w:rsidR="0026712A" w:rsidRPr="00100C98">
        <w:rPr>
          <w:rFonts w:ascii="Open Sans" w:hAnsi="Open Sans" w:cs="Open Sans"/>
        </w:rPr>
        <w:t>instalacji wytwórczych</w:t>
      </w:r>
      <w:r w:rsidR="0026712A" w:rsidRPr="00100C98">
        <w:rPr>
          <w:rFonts w:ascii="Open Sans" w:hAnsi="Open Sans" w:cs="Open Sans"/>
        </w:rPr>
        <w:t xml:space="preserve"> </w:t>
      </w:r>
      <w:r w:rsidR="0095189C" w:rsidRPr="00100C98">
        <w:rPr>
          <w:rFonts w:ascii="Open Sans" w:hAnsi="Open Sans" w:cs="Open Sans"/>
        </w:rPr>
        <w:t xml:space="preserve">OZE </w:t>
      </w:r>
      <w:r w:rsidR="00E6349A" w:rsidRPr="00100C98">
        <w:rPr>
          <w:rFonts w:ascii="Open Sans" w:hAnsi="Open Sans" w:cs="Open Sans"/>
        </w:rPr>
        <w:t xml:space="preserve">zasilających </w:t>
      </w:r>
      <w:r w:rsidR="0095189C" w:rsidRPr="00100C98">
        <w:rPr>
          <w:rFonts w:ascii="Open Sans" w:hAnsi="Open Sans" w:cs="Open Sans"/>
        </w:rPr>
        <w:t>węzły hybrydowe</w:t>
      </w:r>
    </w:p>
    <w:p w14:paraId="4661B748" w14:textId="77777777" w:rsidR="00E31588" w:rsidRPr="00100C98" w:rsidRDefault="00E31588" w:rsidP="00242ADB">
      <w:pPr>
        <w:spacing w:after="0" w:line="276" w:lineRule="auto"/>
        <w:jc w:val="both"/>
        <w:rPr>
          <w:rFonts w:ascii="Open Sans" w:hAnsi="Open Sans" w:cs="Open Sans"/>
        </w:rPr>
      </w:pPr>
    </w:p>
    <w:p w14:paraId="4359365D" w14:textId="53F0541D" w:rsidR="00F46905" w:rsidRPr="00100C98" w:rsidRDefault="00100C98" w:rsidP="00262725">
      <w:pPr>
        <w:spacing w:after="0" w:line="276" w:lineRule="auto"/>
        <w:ind w:left="360"/>
        <w:rPr>
          <w:rFonts w:ascii="Open Sans" w:hAnsi="Open Sans" w:cs="Open Sans"/>
        </w:rPr>
      </w:pP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edu</m:t>
            </m:r>
          </m:sub>
        </m:sSub>
      </m:oMath>
      <w:r w:rsidR="00F46905" w:rsidRPr="00100C98">
        <w:rPr>
          <w:rFonts w:ascii="Open Sans" w:hAnsi="Open Sans" w:cs="Open Sans"/>
        </w:rPr>
        <w:t xml:space="preserve"> - koszty </w:t>
      </w:r>
      <w:r w:rsidR="009F7F19" w:rsidRPr="00100C98">
        <w:rPr>
          <w:rFonts w:ascii="Open Sans" w:hAnsi="Open Sans" w:cs="Open Sans"/>
        </w:rPr>
        <w:t xml:space="preserve">kwalifikowane </w:t>
      </w:r>
      <w:r w:rsidR="00F46905" w:rsidRPr="00100C98">
        <w:rPr>
          <w:rFonts w:ascii="Open Sans" w:hAnsi="Open Sans" w:cs="Open Sans"/>
        </w:rPr>
        <w:t>działań edukacyjnych</w:t>
      </w:r>
    </w:p>
    <w:p w14:paraId="7762827D" w14:textId="0CFAC7AA" w:rsidR="00F46905" w:rsidRPr="00100C98" w:rsidRDefault="00F46905" w:rsidP="00262725">
      <w:pPr>
        <w:spacing w:after="0" w:line="276" w:lineRule="auto"/>
        <w:ind w:left="360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 </w:t>
      </w:r>
    </w:p>
    <w:p w14:paraId="6962380F" w14:textId="77777777" w:rsidR="00E31588" w:rsidRPr="00100C98" w:rsidRDefault="00E31588" w:rsidP="00262725">
      <w:pPr>
        <w:spacing w:after="0" w:line="276" w:lineRule="auto"/>
        <w:ind w:left="360"/>
        <w:rPr>
          <w:rFonts w:ascii="Open Sans" w:hAnsi="Open Sans" w:cs="Open Sans"/>
        </w:rPr>
      </w:pPr>
    </w:p>
    <w:p w14:paraId="4AA64A0F" w14:textId="77777777" w:rsidR="00E31588" w:rsidRPr="00100C98" w:rsidRDefault="00E31588" w:rsidP="00262725">
      <w:pPr>
        <w:spacing w:after="0" w:line="276" w:lineRule="auto"/>
        <w:ind w:left="360"/>
        <w:rPr>
          <w:rFonts w:ascii="Open Sans" w:hAnsi="Open Sans" w:cs="Open Sans"/>
        </w:rPr>
      </w:pPr>
    </w:p>
    <w:p w14:paraId="01A3936C" w14:textId="77777777" w:rsidR="00915FF9" w:rsidRPr="00100C98" w:rsidRDefault="00915FF9" w:rsidP="00262725">
      <w:pPr>
        <w:spacing w:after="0" w:line="276" w:lineRule="auto"/>
        <w:ind w:left="360"/>
        <w:rPr>
          <w:rFonts w:ascii="Open Sans" w:hAnsi="Open Sans" w:cs="Open Sans"/>
        </w:rPr>
      </w:pPr>
    </w:p>
    <w:p w14:paraId="15C2519D" w14:textId="77777777" w:rsidR="00E6349A" w:rsidRPr="00100C98" w:rsidRDefault="00E6349A" w:rsidP="00262725">
      <w:pPr>
        <w:spacing w:after="0" w:line="276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Ad </w:t>
      </w:r>
      <w:r w:rsidR="00EB7037" w:rsidRPr="00100C98">
        <w:rPr>
          <w:rFonts w:ascii="Open Sans" w:hAnsi="Open Sans" w:cs="Open Sans"/>
        </w:rPr>
        <w:t xml:space="preserve">(2) </w:t>
      </w:r>
    </w:p>
    <w:p w14:paraId="3221F070" w14:textId="1DAC1406" w:rsidR="00EB7037" w:rsidRPr="00100C98" w:rsidRDefault="00E6349A" w:rsidP="00262725">
      <w:pPr>
        <w:spacing w:after="0" w:line="276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Dofinansowanie nie może prowadzić do przekroczenia limitów pomocy publicznej</w:t>
      </w:r>
      <w:r w:rsidR="00B97ED1" w:rsidRPr="00100C98">
        <w:rPr>
          <w:rFonts w:ascii="Open Sans" w:hAnsi="Open Sans" w:cs="Open Sans"/>
        </w:rPr>
        <w:t>:</w:t>
      </w:r>
    </w:p>
    <w:p w14:paraId="5B11CA48" w14:textId="1E74807E" w:rsidR="00E861A0" w:rsidRPr="00100C98" w:rsidRDefault="00E6349A" w:rsidP="00137FC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pomoc publiczna wynikająca z dofinansowania</w:t>
      </w:r>
      <w:r w:rsidR="00137FC2" w:rsidRPr="00100C98">
        <w:rPr>
          <w:rFonts w:ascii="Open Sans" w:hAnsi="Open Sans" w:cs="Open Sans"/>
        </w:rPr>
        <w:t xml:space="preserve"> przypadającego na</w:t>
      </w:r>
      <w:r w:rsidRPr="00100C98">
        <w:rPr>
          <w:rFonts w:ascii="Open Sans" w:hAnsi="Open Sans" w:cs="Open Sans"/>
        </w:rPr>
        <w:t xml:space="preserve">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sieci</m:t>
            </m:r>
          </m:sub>
        </m:sSub>
      </m:oMath>
      <w:r w:rsidRPr="00100C98">
        <w:rPr>
          <w:rFonts w:ascii="Open Sans" w:hAnsi="Open Sans" w:cs="Open Sans"/>
        </w:rPr>
        <w:t xml:space="preserve"> </w:t>
      </w:r>
      <w:r w:rsidR="00137FC2" w:rsidRPr="00100C98">
        <w:rPr>
          <w:rFonts w:ascii="Open Sans" w:hAnsi="Open Sans" w:cs="Open Sans"/>
        </w:rPr>
        <w:t xml:space="preserve">(część dotacji </w:t>
      </w:r>
      <w:r w:rsidR="00E15570" w:rsidRPr="00100C98">
        <w:rPr>
          <w:rFonts w:ascii="Open Sans" w:hAnsi="Open Sans" w:cs="Open Sans"/>
        </w:rPr>
        <w:t xml:space="preserve">IF </w:t>
      </w:r>
      <w:r w:rsidR="00137FC2" w:rsidRPr="00100C98">
        <w:rPr>
          <w:rFonts w:ascii="Open Sans" w:hAnsi="Open Sans" w:cs="Open Sans"/>
        </w:rPr>
        <w:t>+ EDB</w:t>
      </w:r>
      <w:r w:rsidR="00B857D0" w:rsidRPr="00100C98">
        <w:rPr>
          <w:rStyle w:val="Odwoanieprzypisudolnego"/>
          <w:rFonts w:ascii="Open Sans" w:hAnsi="Open Sans" w:cs="Open Sans"/>
        </w:rPr>
        <w:footnoteReference w:id="1"/>
      </w:r>
      <w:r w:rsidR="00137FC2" w:rsidRPr="00100C98">
        <w:rPr>
          <w:rFonts w:ascii="Open Sans" w:hAnsi="Open Sans" w:cs="Open Sans"/>
        </w:rPr>
        <w:t xml:space="preserve"> z </w:t>
      </w:r>
      <w:r w:rsidR="00E15570" w:rsidRPr="00100C98">
        <w:rPr>
          <w:rFonts w:ascii="Open Sans" w:hAnsi="Open Sans" w:cs="Open Sans"/>
        </w:rPr>
        <w:t xml:space="preserve">części </w:t>
      </w:r>
      <w:r w:rsidR="00137FC2" w:rsidRPr="00100C98">
        <w:rPr>
          <w:rFonts w:ascii="Open Sans" w:hAnsi="Open Sans" w:cs="Open Sans"/>
        </w:rPr>
        <w:t>pożyczki</w:t>
      </w:r>
      <w:r w:rsidR="00E15570" w:rsidRPr="00100C98">
        <w:rPr>
          <w:rFonts w:ascii="Open Sans" w:hAnsi="Open Sans" w:cs="Open Sans"/>
        </w:rPr>
        <w:t xml:space="preserve"> IF</w:t>
      </w:r>
      <w:r w:rsidR="00137FC2" w:rsidRPr="00100C98">
        <w:rPr>
          <w:rFonts w:ascii="Open Sans" w:hAnsi="Open Sans" w:cs="Open Sans"/>
        </w:rPr>
        <w:t xml:space="preserve">) </w:t>
      </w:r>
      <w:r w:rsidRPr="00100C98">
        <w:rPr>
          <w:rFonts w:ascii="Open Sans" w:hAnsi="Open Sans" w:cs="Open Sans"/>
        </w:rPr>
        <w:t xml:space="preserve">nie może przekraczać </w:t>
      </w:r>
      <w:r w:rsidR="00137FC2" w:rsidRPr="00100C98">
        <w:rPr>
          <w:rFonts w:ascii="Open Sans" w:hAnsi="Open Sans" w:cs="Open Sans"/>
        </w:rPr>
        <w:t>dopuszczalnej</w:t>
      </w:r>
      <w:r w:rsidRPr="00100C98">
        <w:rPr>
          <w:rFonts w:ascii="Open Sans" w:hAnsi="Open Sans" w:cs="Open Sans"/>
        </w:rPr>
        <w:t xml:space="preserve"> wartości pomocy p</w:t>
      </w:r>
      <w:r w:rsidR="00137FC2" w:rsidRPr="00100C98">
        <w:rPr>
          <w:rFonts w:ascii="Open Sans" w:hAnsi="Open Sans" w:cs="Open Sans"/>
        </w:rPr>
        <w:t xml:space="preserve">ublicznej przypadającej na te koszty </w:t>
      </w:r>
      <w:r w:rsidRPr="00100C98">
        <w:rPr>
          <w:rFonts w:ascii="Open Sans" w:hAnsi="Open Sans" w:cs="Open Sans"/>
        </w:rPr>
        <w:t xml:space="preserve">pomniejszonej o wartość </w:t>
      </w:r>
      <w:r w:rsidR="00137FC2" w:rsidRPr="00100C98">
        <w:rPr>
          <w:rFonts w:ascii="Open Sans" w:hAnsi="Open Sans" w:cs="Open Sans"/>
        </w:rPr>
        <w:t xml:space="preserve">ewentualnej </w:t>
      </w:r>
      <w:r w:rsidRPr="00100C98">
        <w:rPr>
          <w:rFonts w:ascii="Open Sans" w:hAnsi="Open Sans" w:cs="Open Sans"/>
        </w:rPr>
        <w:t>innej pomocy (w tym także pomocy de minimis) otrzymanej przez Wnioskodawcę na te same koszty</w:t>
      </w:r>
      <w:r w:rsidR="00137FC2" w:rsidRPr="00100C98">
        <w:rPr>
          <w:rStyle w:val="Odwoanieprzypisudolnego"/>
          <w:rFonts w:ascii="Open Sans" w:hAnsi="Open Sans" w:cs="Open Sans"/>
        </w:rPr>
        <w:footnoteReference w:id="2"/>
      </w:r>
      <w:r w:rsidR="00B97ED1" w:rsidRPr="00100C98">
        <w:rPr>
          <w:rFonts w:ascii="Open Sans" w:hAnsi="Open Sans" w:cs="Open Sans"/>
        </w:rPr>
        <w:t xml:space="preserve">, </w:t>
      </w:r>
    </w:p>
    <w:p w14:paraId="29611501" w14:textId="1E752690" w:rsidR="00F46905" w:rsidRPr="00100C98" w:rsidRDefault="00F46905" w:rsidP="00E1557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pomoc </w:t>
      </w:r>
      <w:r w:rsidR="00137FC2" w:rsidRPr="00100C98">
        <w:rPr>
          <w:rFonts w:ascii="Open Sans" w:hAnsi="Open Sans" w:cs="Open Sans"/>
        </w:rPr>
        <w:t xml:space="preserve">publiczna wynikająca z dofinansowania </w:t>
      </w:r>
      <w:r w:rsidR="00FF2F45" w:rsidRPr="00100C98">
        <w:rPr>
          <w:rFonts w:ascii="Open Sans" w:hAnsi="Open Sans" w:cs="Open Sans"/>
        </w:rPr>
        <w:t xml:space="preserve">przypadającego na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mag</m:t>
            </m:r>
          </m:sub>
        </m:sSub>
      </m:oMath>
      <w:r w:rsidR="00137FC2" w:rsidRPr="00100C98">
        <w:rPr>
          <w:rFonts w:ascii="Open Sans" w:hAnsi="Open Sans" w:cs="Open Sans"/>
        </w:rPr>
        <w:t xml:space="preserve"> (</w:t>
      </w:r>
      <w:r w:rsidR="00E15570" w:rsidRPr="00100C98">
        <w:rPr>
          <w:rFonts w:ascii="Open Sans" w:hAnsi="Open Sans" w:cs="Open Sans"/>
        </w:rPr>
        <w:t>część dotacji IF + EDB z części pożyczki IF</w:t>
      </w:r>
      <w:r w:rsidR="00137FC2" w:rsidRPr="00100C98">
        <w:rPr>
          <w:rFonts w:ascii="Open Sans" w:hAnsi="Open Sans" w:cs="Open Sans"/>
        </w:rPr>
        <w:t xml:space="preserve">) </w:t>
      </w:r>
      <w:r w:rsidR="00E15570" w:rsidRPr="00100C98">
        <w:rPr>
          <w:rFonts w:ascii="Open Sans" w:hAnsi="Open Sans" w:cs="Open Sans"/>
        </w:rPr>
        <w:t xml:space="preserve">nie może przekraczać dopuszczalnej wartości pomocy publicznej przypadającej na te koszty pomniejszonej o wartość ewentualnej innej pomocy (w tym także pomocy de minimis) otrzymanej przez Wnioskodawcę na te same koszty </w:t>
      </w:r>
      <w:r w:rsidRPr="00100C98">
        <w:rPr>
          <w:rStyle w:val="Odwoanieprzypisudolnego"/>
          <w:rFonts w:ascii="Open Sans" w:hAnsi="Open Sans" w:cs="Open Sans"/>
        </w:rPr>
        <w:footnoteReference w:id="3"/>
      </w:r>
      <w:r w:rsidRPr="00100C98">
        <w:rPr>
          <w:rFonts w:ascii="Open Sans" w:hAnsi="Open Sans" w:cs="Open Sans"/>
        </w:rPr>
        <w:t>,</w:t>
      </w:r>
    </w:p>
    <w:p w14:paraId="4B9D46F9" w14:textId="6464282F" w:rsidR="00F46905" w:rsidRPr="00100C98" w:rsidRDefault="00F46905" w:rsidP="00FF2F45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pomoc </w:t>
      </w:r>
      <w:r w:rsidR="00E15570" w:rsidRPr="00100C98">
        <w:rPr>
          <w:rFonts w:ascii="Open Sans" w:hAnsi="Open Sans" w:cs="Open Sans"/>
        </w:rPr>
        <w:t xml:space="preserve">publiczna wynikająca z dofinansowania </w:t>
      </w:r>
      <w:r w:rsidR="00FF2F45" w:rsidRPr="00100C98">
        <w:rPr>
          <w:rFonts w:ascii="Open Sans" w:hAnsi="Open Sans" w:cs="Open Sans"/>
        </w:rPr>
        <w:t xml:space="preserve">przypadającego na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oze</m:t>
            </m:r>
          </m:sub>
        </m:sSub>
        <m:r>
          <w:rPr>
            <w:rFonts w:ascii="Cambria Math" w:hAnsi="Cambria Math" w:cs="Open Sans"/>
          </w:rPr>
          <m:t xml:space="preserve"> </m:t>
        </m:r>
      </m:oMath>
      <w:r w:rsidR="00E15570" w:rsidRPr="00100C98">
        <w:rPr>
          <w:rFonts w:ascii="Open Sans" w:hAnsi="Open Sans" w:cs="Open Sans"/>
        </w:rPr>
        <w:t xml:space="preserve">(część dotacji IF + EDB z części pożyczki IF) nie może </w:t>
      </w:r>
      <w:r w:rsidR="00E15570" w:rsidRPr="00100C98">
        <w:rPr>
          <w:rFonts w:ascii="Open Sans" w:hAnsi="Open Sans" w:cs="Open Sans"/>
        </w:rPr>
        <w:lastRenderedPageBreak/>
        <w:t>przekraczać dopuszczalnej wartości pomocy publicznej przypadającej na te koszty pomniejszonej o wartość ewentualnej innej pomocy (w tym także pomocy de minimis) otrzymanej przez Wnioskodawcę na te same koszty</w:t>
      </w:r>
      <w:r w:rsidR="00CF17CC" w:rsidRPr="00100C98">
        <w:rPr>
          <w:rStyle w:val="Odwoanieprzypisudolnego"/>
          <w:rFonts w:ascii="Open Sans" w:hAnsi="Open Sans" w:cs="Open Sans"/>
        </w:rPr>
        <w:t xml:space="preserve"> </w:t>
      </w:r>
      <w:r w:rsidRPr="00100C98">
        <w:rPr>
          <w:rStyle w:val="Odwoanieprzypisudolnego"/>
          <w:rFonts w:ascii="Open Sans" w:hAnsi="Open Sans" w:cs="Open Sans"/>
        </w:rPr>
        <w:footnoteReference w:id="4"/>
      </w:r>
      <w:r w:rsidRPr="00100C98">
        <w:rPr>
          <w:rFonts w:ascii="Open Sans" w:hAnsi="Open Sans" w:cs="Open Sans"/>
        </w:rPr>
        <w:t>,</w:t>
      </w:r>
    </w:p>
    <w:p w14:paraId="548A24F1" w14:textId="18A0CEDD" w:rsidR="00B44907" w:rsidRPr="00100C98" w:rsidRDefault="00E15570" w:rsidP="00FF2F45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pomoc publiczna wynikająca z dofinansowania przypadającego </w:t>
      </w:r>
      <w:r w:rsidR="00FF2F45" w:rsidRPr="00100C98">
        <w:rPr>
          <w:rFonts w:ascii="Open Sans" w:hAnsi="Open Sans" w:cs="Open Sans"/>
        </w:rPr>
        <w:t xml:space="preserve">na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edu</m:t>
            </m:r>
          </m:sub>
        </m:sSub>
      </m:oMath>
      <w:r w:rsidR="00FF2F45" w:rsidRPr="00100C98">
        <w:rPr>
          <w:rFonts w:ascii="Open Sans" w:hAnsi="Open Sans" w:cs="Open Sans"/>
        </w:rPr>
        <w:t xml:space="preserve"> (część dotacji IF + EDB z części pożyczki IF) nie może przekraczać dopuszczalnej wartości pomocy de minimis otrzymanej przez Wnioskodawcę i podmioty z nim powiązane </w:t>
      </w:r>
      <w:r w:rsidR="001029DF" w:rsidRPr="00100C98">
        <w:rPr>
          <w:rStyle w:val="Odwoanieprzypisudolnego"/>
          <w:rFonts w:ascii="Open Sans" w:hAnsi="Open Sans" w:cs="Open Sans"/>
        </w:rPr>
        <w:footnoteReference w:id="5"/>
      </w:r>
      <w:r w:rsidR="00E861A0" w:rsidRPr="00100C98">
        <w:rPr>
          <w:rFonts w:ascii="Open Sans" w:hAnsi="Open Sans" w:cs="Open Sans"/>
        </w:rPr>
        <w:t xml:space="preserve"> </w:t>
      </w:r>
    </w:p>
    <w:p w14:paraId="52B803E5" w14:textId="77777777" w:rsidR="00E861A0" w:rsidRPr="00100C98" w:rsidRDefault="00E861A0" w:rsidP="00262725">
      <w:pPr>
        <w:spacing w:after="0" w:line="276" w:lineRule="auto"/>
        <w:jc w:val="both"/>
        <w:rPr>
          <w:rFonts w:ascii="Open Sans" w:hAnsi="Open Sans" w:cs="Open Sans"/>
        </w:rPr>
      </w:pPr>
    </w:p>
    <w:p w14:paraId="45F47CEC" w14:textId="77777777" w:rsidR="00E6349A" w:rsidRPr="00100C98" w:rsidRDefault="00E6349A" w:rsidP="00262725">
      <w:pPr>
        <w:spacing w:after="0" w:line="276" w:lineRule="auto"/>
        <w:rPr>
          <w:rFonts w:ascii="Open Sans" w:hAnsi="Open Sans" w:cs="Open Sans"/>
        </w:rPr>
      </w:pPr>
    </w:p>
    <w:p w14:paraId="5F60F0C1" w14:textId="77777777" w:rsidR="00C3114B" w:rsidRPr="00100C98" w:rsidRDefault="00C3114B" w:rsidP="00262725">
      <w:pPr>
        <w:spacing w:after="0" w:line="276" w:lineRule="auto"/>
        <w:rPr>
          <w:rFonts w:ascii="Open Sans" w:hAnsi="Open Sans" w:cs="Open Sans"/>
        </w:rPr>
      </w:pPr>
    </w:p>
    <w:p w14:paraId="787A59EE" w14:textId="65466812" w:rsidR="00E861A0" w:rsidRPr="00100C98" w:rsidRDefault="006F4444" w:rsidP="00262725">
      <w:pPr>
        <w:spacing w:after="0" w:line="276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Aby zapewnić spełnienie powyższych warunków należy przyjąć następującą sekwencję działań</w:t>
      </w:r>
      <w:r w:rsidR="00BE02C9" w:rsidRPr="00100C98">
        <w:rPr>
          <w:rFonts w:ascii="Open Sans" w:hAnsi="Open Sans" w:cs="Open Sans"/>
        </w:rPr>
        <w:t xml:space="preserve"> (aby ułatwić wnioskodawcy ostateczne ustalenie kwot dofinansowania z uwzględnieniem zasad pomocy publicznej opracowano „Kalkulator pomocy publicznej”, w którym należy realizować</w:t>
      </w:r>
      <w:r w:rsidR="00A27906" w:rsidRPr="00100C98">
        <w:rPr>
          <w:rFonts w:ascii="Open Sans" w:hAnsi="Open Sans" w:cs="Open Sans"/>
        </w:rPr>
        <w:t xml:space="preserve"> poniższe</w:t>
      </w:r>
      <w:r w:rsidR="00BE02C9" w:rsidRPr="00100C98">
        <w:rPr>
          <w:rFonts w:ascii="Open Sans" w:hAnsi="Open Sans" w:cs="Open Sans"/>
        </w:rPr>
        <w:t xml:space="preserve"> kolejne kroki) </w:t>
      </w:r>
      <w:r w:rsidRPr="00100C98">
        <w:rPr>
          <w:rFonts w:ascii="Open Sans" w:hAnsi="Open Sans" w:cs="Open Sans"/>
        </w:rPr>
        <w:t>:</w:t>
      </w:r>
    </w:p>
    <w:p w14:paraId="08D8F554" w14:textId="77777777" w:rsidR="006F4444" w:rsidRPr="00100C98" w:rsidRDefault="006F4444" w:rsidP="00262725">
      <w:pPr>
        <w:spacing w:after="0" w:line="276" w:lineRule="auto"/>
        <w:jc w:val="both"/>
        <w:rPr>
          <w:rFonts w:ascii="Open Sans" w:hAnsi="Open Sans" w:cs="Open Sans"/>
        </w:rPr>
      </w:pPr>
    </w:p>
    <w:p w14:paraId="489A2EDF" w14:textId="653FBFE2" w:rsidR="00557946" w:rsidRPr="00100C98" w:rsidRDefault="006F4444" w:rsidP="00F72CD5">
      <w:pPr>
        <w:spacing w:after="0" w:line="276" w:lineRule="auto"/>
        <w:ind w:left="993" w:hanging="993"/>
        <w:jc w:val="both"/>
        <w:rPr>
          <w:rFonts w:ascii="Open Sans" w:hAnsi="Open Sans" w:cs="Open Sans"/>
          <w:b/>
        </w:rPr>
      </w:pPr>
      <w:r w:rsidRPr="00100C98">
        <w:rPr>
          <w:rFonts w:ascii="Open Sans" w:hAnsi="Open Sans" w:cs="Open Sans"/>
          <w:b/>
        </w:rPr>
        <w:t xml:space="preserve">KROK 1 – </w:t>
      </w:r>
      <w:r w:rsidR="00BE02C9" w:rsidRPr="00100C98">
        <w:rPr>
          <w:rFonts w:ascii="Open Sans" w:hAnsi="Open Sans" w:cs="Open Sans"/>
          <w:b/>
        </w:rPr>
        <w:t>Ustalenie kosztów kwalifikowanych</w:t>
      </w:r>
      <w:r w:rsidR="00A27906" w:rsidRPr="00100C98">
        <w:rPr>
          <w:rFonts w:ascii="Open Sans" w:hAnsi="Open Sans" w:cs="Open Sans"/>
          <w:b/>
        </w:rPr>
        <w:t xml:space="preserve"> przedsięwzięcia</w:t>
      </w:r>
      <w:r w:rsidR="00BE02C9" w:rsidRPr="00100C98">
        <w:rPr>
          <w:rFonts w:ascii="Open Sans" w:hAnsi="Open Sans" w:cs="Open Sans"/>
          <w:b/>
        </w:rPr>
        <w:t>, dotacji IF, pożyczki IF i pożyczki NFOŚiGW</w:t>
      </w:r>
      <w:r w:rsidR="00557946" w:rsidRPr="00100C98">
        <w:rPr>
          <w:rFonts w:ascii="Open Sans" w:hAnsi="Open Sans" w:cs="Open Sans"/>
          <w:b/>
        </w:rPr>
        <w:t xml:space="preserve"> przy zastosowaniu zasad określonych w pkt (1)</w:t>
      </w:r>
      <w:r w:rsidR="00BE02C9" w:rsidRPr="00100C98">
        <w:rPr>
          <w:rFonts w:ascii="Open Sans" w:hAnsi="Open Sans" w:cs="Open Sans"/>
          <w:b/>
        </w:rPr>
        <w:t xml:space="preserve"> oraz wyliczenie wartości pomocy (EDB) wynikającej z pożyczki NFOŚiGW</w:t>
      </w:r>
    </w:p>
    <w:p w14:paraId="7D038C16" w14:textId="77777777" w:rsidR="005C595A" w:rsidRPr="00100C98" w:rsidRDefault="005C595A" w:rsidP="00F72CD5">
      <w:pPr>
        <w:spacing w:after="0" w:line="276" w:lineRule="auto"/>
        <w:ind w:left="993" w:hanging="993"/>
        <w:jc w:val="both"/>
        <w:rPr>
          <w:rFonts w:ascii="Open Sans" w:hAnsi="Open Sans" w:cs="Open Sans"/>
          <w:b/>
        </w:rPr>
      </w:pPr>
    </w:p>
    <w:p w14:paraId="5DA92E6D" w14:textId="56DD41EB" w:rsidR="00557946" w:rsidRPr="00100C98" w:rsidRDefault="00CB6C18" w:rsidP="005C595A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W pierwszej kolejności wnioskodawca powinien </w:t>
      </w:r>
      <w:r w:rsidR="00BE02C9" w:rsidRPr="00100C98">
        <w:rPr>
          <w:rFonts w:ascii="Open Sans" w:hAnsi="Open Sans" w:cs="Open Sans"/>
        </w:rPr>
        <w:t>ustalić</w:t>
      </w:r>
      <w:r w:rsidRPr="00100C98">
        <w:rPr>
          <w:rFonts w:ascii="Open Sans" w:hAnsi="Open Sans" w:cs="Open Sans"/>
        </w:rPr>
        <w:t xml:space="preserve"> </w:t>
      </w:r>
      <w:r w:rsidR="00BE02C9" w:rsidRPr="00100C98">
        <w:rPr>
          <w:rFonts w:ascii="Open Sans" w:hAnsi="Open Sans" w:cs="Open Sans"/>
        </w:rPr>
        <w:t xml:space="preserve">koszty kwalifikowane oraz </w:t>
      </w:r>
      <w:r w:rsidR="00844D88" w:rsidRPr="00100C98">
        <w:rPr>
          <w:rFonts w:ascii="Open Sans" w:hAnsi="Open Sans" w:cs="Open Sans"/>
        </w:rPr>
        <w:t>wstępnie  kwotę dotacji IF</w:t>
      </w:r>
      <w:r w:rsidR="00A27906" w:rsidRPr="00100C98">
        <w:rPr>
          <w:rFonts w:ascii="Open Sans" w:hAnsi="Open Sans" w:cs="Open Sans"/>
        </w:rPr>
        <w:t>,</w:t>
      </w:r>
      <w:r w:rsidR="00844D88" w:rsidRPr="00100C98">
        <w:rPr>
          <w:rFonts w:ascii="Open Sans" w:hAnsi="Open Sans" w:cs="Open Sans"/>
        </w:rPr>
        <w:t xml:space="preserve"> pożyczki IF </w:t>
      </w:r>
      <w:r w:rsidR="00A27906" w:rsidRPr="00100C98">
        <w:rPr>
          <w:rFonts w:ascii="Open Sans" w:hAnsi="Open Sans" w:cs="Open Sans"/>
        </w:rPr>
        <w:t xml:space="preserve">i pożyczki NFOŚiGW </w:t>
      </w:r>
      <w:r w:rsidR="00844D88" w:rsidRPr="00100C98">
        <w:rPr>
          <w:rFonts w:ascii="Open Sans" w:hAnsi="Open Sans" w:cs="Open Sans"/>
        </w:rPr>
        <w:t xml:space="preserve">uwzględniając warunki określone w pkt (1) powyżej (kwoty te mogą ulec zmianie, gdy w kolejnych krokach wystąpi taka konieczność). </w:t>
      </w:r>
      <w:r w:rsidR="00A27906" w:rsidRPr="00100C98">
        <w:rPr>
          <w:rFonts w:ascii="Open Sans" w:hAnsi="Open Sans" w:cs="Open Sans"/>
        </w:rPr>
        <w:t xml:space="preserve">Następnie w </w:t>
      </w:r>
      <w:r w:rsidR="00A27906" w:rsidRPr="00100C98">
        <w:rPr>
          <w:rFonts w:ascii="Open Sans" w:hAnsi="Open Sans" w:cs="Open Sans"/>
        </w:rPr>
        <w:t>załączniku pn. „Kalkulator pomocy publicznej”</w:t>
      </w:r>
      <w:r w:rsidR="00A27906" w:rsidRPr="00100C98">
        <w:rPr>
          <w:rFonts w:ascii="Open Sans" w:hAnsi="Open Sans" w:cs="Open Sans"/>
        </w:rPr>
        <w:t xml:space="preserve"> (w arkuszu „finansowanie”) należy wyliczyć wartość</w:t>
      </w:r>
      <w:r w:rsidR="005C595A" w:rsidRPr="00100C98">
        <w:rPr>
          <w:rFonts w:ascii="Open Sans" w:hAnsi="Open Sans" w:cs="Open Sans"/>
        </w:rPr>
        <w:t xml:space="preserve"> pomocy publicznej </w:t>
      </w:r>
      <w:r w:rsidR="00A27906" w:rsidRPr="00100C98">
        <w:rPr>
          <w:rFonts w:ascii="Open Sans" w:hAnsi="Open Sans" w:cs="Open Sans"/>
        </w:rPr>
        <w:t>pomocy (EDB) wynikającej z pożyczki NFOŚiGW</w:t>
      </w:r>
      <w:r w:rsidR="00A27906" w:rsidRPr="00100C98">
        <w:rPr>
          <w:rFonts w:ascii="Open Sans" w:hAnsi="Open Sans" w:cs="Open Sans"/>
        </w:rPr>
        <w:t>.</w:t>
      </w:r>
    </w:p>
    <w:p w14:paraId="036379C1" w14:textId="2D4F968E" w:rsidR="00C3114B" w:rsidRPr="00100C98" w:rsidRDefault="00C3114B" w:rsidP="00C3114B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  <w:b/>
        </w:rPr>
        <w:t>Uwaga</w:t>
      </w:r>
      <w:r w:rsidRPr="00100C98">
        <w:rPr>
          <w:rFonts w:ascii="Open Sans" w:hAnsi="Open Sans" w:cs="Open Sans"/>
        </w:rPr>
        <w:t>: P</w:t>
      </w:r>
      <w:r w:rsidRPr="00100C98">
        <w:rPr>
          <w:rFonts w:ascii="Open Sans" w:hAnsi="Open Sans" w:cs="Open Sans"/>
          <w:vertAlign w:val="subscript"/>
        </w:rPr>
        <w:t>NF</w:t>
      </w:r>
      <w:r w:rsidRPr="00100C98">
        <w:rPr>
          <w:rFonts w:ascii="Open Sans" w:hAnsi="Open Sans" w:cs="Open Sans"/>
        </w:rPr>
        <w:t xml:space="preserve"> nie stanowi pomocy publicznej, więc nie bierze udziału w </w:t>
      </w:r>
      <w:r w:rsidR="00A27906" w:rsidRPr="00100C98">
        <w:rPr>
          <w:rFonts w:ascii="Open Sans" w:hAnsi="Open Sans" w:cs="Open Sans"/>
        </w:rPr>
        <w:t>weryfikacji</w:t>
      </w:r>
      <w:r w:rsidRPr="00100C98">
        <w:rPr>
          <w:rFonts w:ascii="Open Sans" w:hAnsi="Open Sans" w:cs="Open Sans"/>
        </w:rPr>
        <w:t xml:space="preserve"> </w:t>
      </w:r>
      <w:r w:rsidR="00A27906" w:rsidRPr="00100C98">
        <w:rPr>
          <w:rFonts w:ascii="Open Sans" w:hAnsi="Open Sans" w:cs="Open Sans"/>
        </w:rPr>
        <w:t>zgodności</w:t>
      </w:r>
      <w:r w:rsidRPr="00100C98">
        <w:rPr>
          <w:rFonts w:ascii="Open Sans" w:hAnsi="Open Sans" w:cs="Open Sans"/>
        </w:rPr>
        <w:t xml:space="preserve"> dofinansowania z przepisami o pomocy publicznej.</w:t>
      </w:r>
    </w:p>
    <w:p w14:paraId="7DF17A90" w14:textId="77777777" w:rsidR="00C3114B" w:rsidRPr="00100C98" w:rsidRDefault="00C3114B" w:rsidP="005C595A">
      <w:pPr>
        <w:spacing w:after="0" w:line="276" w:lineRule="auto"/>
        <w:jc w:val="both"/>
        <w:rPr>
          <w:rFonts w:ascii="Open Sans" w:hAnsi="Open Sans" w:cs="Open Sans"/>
        </w:rPr>
      </w:pPr>
    </w:p>
    <w:p w14:paraId="45928ACD" w14:textId="1ED0CD8F" w:rsidR="00101C23" w:rsidRPr="00100C98" w:rsidRDefault="00BE02C9" w:rsidP="005C595A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  <w:b/>
        </w:rPr>
        <w:t xml:space="preserve">KROK 2 </w:t>
      </w:r>
      <w:r w:rsidR="00A27906" w:rsidRPr="00100C98">
        <w:rPr>
          <w:rFonts w:ascii="Open Sans" w:hAnsi="Open Sans" w:cs="Open Sans"/>
          <w:b/>
        </w:rPr>
        <w:t xml:space="preserve">– Ustalenie </w:t>
      </w:r>
      <w:r w:rsidR="00A27906" w:rsidRPr="00100C98">
        <w:rPr>
          <w:rFonts w:ascii="Open Sans" w:hAnsi="Open Sans" w:cs="Open Sans"/>
          <w:b/>
        </w:rPr>
        <w:t>kosztów kwalifikowanych</w:t>
      </w:r>
      <w:r w:rsidR="00A27906" w:rsidRPr="00100C98">
        <w:rPr>
          <w:rFonts w:ascii="Open Sans" w:hAnsi="Open Sans" w:cs="Open Sans"/>
          <w:b/>
        </w:rPr>
        <w:t xml:space="preserve"> poszczególnych elementów przedsięwzięcia</w:t>
      </w:r>
    </w:p>
    <w:p w14:paraId="44CAF457" w14:textId="39728034" w:rsidR="00101C23" w:rsidRPr="00100C98" w:rsidRDefault="00101C23" w:rsidP="005C595A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W </w:t>
      </w:r>
      <w:r w:rsidR="00A27906" w:rsidRPr="00100C98">
        <w:rPr>
          <w:rFonts w:ascii="Open Sans" w:hAnsi="Open Sans" w:cs="Open Sans"/>
        </w:rPr>
        <w:t>„Kalkulator</w:t>
      </w:r>
      <w:r w:rsidR="00A27906" w:rsidRPr="00100C98">
        <w:rPr>
          <w:rFonts w:ascii="Open Sans" w:hAnsi="Open Sans" w:cs="Open Sans"/>
        </w:rPr>
        <w:t>ze</w:t>
      </w:r>
      <w:r w:rsidR="00A27906" w:rsidRPr="00100C98">
        <w:rPr>
          <w:rFonts w:ascii="Open Sans" w:hAnsi="Open Sans" w:cs="Open Sans"/>
        </w:rPr>
        <w:t xml:space="preserve"> pomocy publicznej” (w arkuszu „</w:t>
      </w:r>
      <w:r w:rsidR="00A27906" w:rsidRPr="00100C98">
        <w:rPr>
          <w:rFonts w:ascii="Open Sans" w:hAnsi="Open Sans" w:cs="Open Sans"/>
        </w:rPr>
        <w:t>koszty</w:t>
      </w:r>
      <w:r w:rsidR="00A27906" w:rsidRPr="00100C98">
        <w:rPr>
          <w:rFonts w:ascii="Open Sans" w:hAnsi="Open Sans" w:cs="Open Sans"/>
        </w:rPr>
        <w:t>”)</w:t>
      </w:r>
      <w:r w:rsidRPr="00100C98">
        <w:rPr>
          <w:rFonts w:ascii="Open Sans" w:hAnsi="Open Sans" w:cs="Open Sans"/>
        </w:rPr>
        <w:t xml:space="preserve"> należy uzupełnić koszty kwalifikowane w podziale na:</w:t>
      </w:r>
    </w:p>
    <w:p w14:paraId="6B2E62BB" w14:textId="5CCE4D9C" w:rsidR="00101C23" w:rsidRPr="00100C98" w:rsidRDefault="00101C23" w:rsidP="005C595A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- koszty dotyczące sieci ciepłowniczych</w:t>
      </w:r>
      <w:r w:rsidR="009853C9" w:rsidRPr="00100C98">
        <w:rPr>
          <w:rFonts w:ascii="Open Sans" w:hAnsi="Open Sans" w:cs="Open Sans"/>
        </w:rPr>
        <w:t>,</w:t>
      </w:r>
    </w:p>
    <w:p w14:paraId="1570DA5C" w14:textId="7EA74692" w:rsidR="00101C23" w:rsidRPr="00100C98" w:rsidRDefault="00101C23" w:rsidP="005C595A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- koszty dotyczące magazynów ciepła (jeśli dotyczy)</w:t>
      </w:r>
      <w:r w:rsidR="009853C9" w:rsidRPr="00100C98">
        <w:rPr>
          <w:rFonts w:ascii="Open Sans" w:hAnsi="Open Sans" w:cs="Open Sans"/>
        </w:rPr>
        <w:t>,</w:t>
      </w:r>
    </w:p>
    <w:p w14:paraId="0AA7DB4F" w14:textId="78AD26AD" w:rsidR="00101C23" w:rsidRPr="00100C98" w:rsidRDefault="00101C23" w:rsidP="005C595A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- koszty dotyczące </w:t>
      </w:r>
      <w:r w:rsidR="0026712A" w:rsidRPr="00100C98">
        <w:rPr>
          <w:rFonts w:ascii="Open Sans" w:hAnsi="Open Sans" w:cs="Open Sans"/>
        </w:rPr>
        <w:t>instalacji wytwórczych</w:t>
      </w:r>
      <w:r w:rsidR="0026712A" w:rsidRPr="00100C98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>OZE zasilających węzły hybrydowe (jeśli dotyczy)</w:t>
      </w:r>
      <w:r w:rsidR="009853C9" w:rsidRPr="00100C98">
        <w:rPr>
          <w:rFonts w:ascii="Open Sans" w:hAnsi="Open Sans" w:cs="Open Sans"/>
        </w:rPr>
        <w:t>,</w:t>
      </w:r>
    </w:p>
    <w:p w14:paraId="7C41FC52" w14:textId="22E2F961" w:rsidR="00101C23" w:rsidRPr="00100C98" w:rsidRDefault="00101C23" w:rsidP="005C595A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- koszty dotyczące działań edukacyjnych (jeśli dotyczy)</w:t>
      </w:r>
    </w:p>
    <w:p w14:paraId="1B5A3E10" w14:textId="25B1A83F" w:rsidR="009853C9" w:rsidRPr="00100C98" w:rsidRDefault="00101C23" w:rsidP="005C595A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lastRenderedPageBreak/>
        <w:t xml:space="preserve">oraz podzielić dotację IF i pożyczkę IF pomiędzy poszczególne </w:t>
      </w:r>
      <w:r w:rsidR="00A27906" w:rsidRPr="00100C98">
        <w:rPr>
          <w:rFonts w:ascii="Open Sans" w:hAnsi="Open Sans" w:cs="Open Sans"/>
        </w:rPr>
        <w:t>ww. elementy</w:t>
      </w:r>
      <w:r w:rsidR="00A27906" w:rsidRPr="00100C98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>przedsięwzięcia</w:t>
      </w:r>
      <w:r w:rsidR="009853C9" w:rsidRPr="00100C98">
        <w:rPr>
          <w:rFonts w:ascii="Open Sans" w:hAnsi="Open Sans" w:cs="Open Sans"/>
        </w:rPr>
        <w:t>.</w:t>
      </w:r>
      <w:r w:rsidR="00C3114B" w:rsidRPr="00100C98">
        <w:rPr>
          <w:rFonts w:ascii="Open Sans" w:hAnsi="Open Sans" w:cs="Open Sans"/>
        </w:rPr>
        <w:t xml:space="preserve"> </w:t>
      </w:r>
    </w:p>
    <w:p w14:paraId="73C7E8C9" w14:textId="091D15B2" w:rsidR="004B5C6B" w:rsidRPr="00100C98" w:rsidRDefault="00C3114B" w:rsidP="005C595A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(</w:t>
      </w:r>
      <w:r w:rsidR="009853C9" w:rsidRPr="00100C98">
        <w:rPr>
          <w:rFonts w:ascii="Open Sans" w:hAnsi="Open Sans" w:cs="Open Sans"/>
        </w:rPr>
        <w:t>Koszty kwalifikowane muszą być zgodne z zasadami  dotyczącymi pomocy publicznej na dany element przedsięwzięcia (np. nie są kwalifikowane koszty poniesione przed złożeniem wniosku</w:t>
      </w:r>
      <w:r w:rsidR="009853C9" w:rsidRPr="00100C98">
        <w:rPr>
          <w:rFonts w:ascii="Open Sans" w:hAnsi="Open Sans" w:cs="Open Sans"/>
        </w:rPr>
        <w:t>;</w:t>
      </w:r>
      <w:r w:rsidR="009853C9" w:rsidRPr="00100C98">
        <w:rPr>
          <w:rFonts w:ascii="Open Sans" w:hAnsi="Open Sans" w:cs="Open Sans"/>
        </w:rPr>
        <w:t xml:space="preserve"> ograniczenie to nie dotyczy jedynie </w:t>
      </w:r>
      <w:r w:rsidR="009853C9" w:rsidRPr="00100C98">
        <w:rPr>
          <w:rFonts w:ascii="Open Sans" w:hAnsi="Open Sans" w:cs="Open Sans"/>
        </w:rPr>
        <w:t xml:space="preserve">kosztów działań edukacyjnych, na które udzielana jest </w:t>
      </w:r>
      <w:r w:rsidR="009853C9" w:rsidRPr="00100C98">
        <w:rPr>
          <w:rFonts w:ascii="Open Sans" w:hAnsi="Open Sans" w:cs="Open Sans"/>
        </w:rPr>
        <w:t>pomoc de minimis), jak i z zasadami przewidzianymi w programie priorytetowym. Koszty wspólne dla kilku elementów przedsięwzięcia (np. przygotowanie inwestycji, zarządzanie procesem inwestycyjnym, inne opłaty i obciążenia) należy przypisać do elementu przedsięwzięcia o największym udziale w kosztach, chyba że wnioskodawca przewiduje odrębne określenie pewnych kosztów wspólnych (np. przewiduje odrębne umowy dot. nadzoru w zakresie sieci dystrybucji i nadzoru w zakresie magazynu ciepła).</w:t>
      </w:r>
    </w:p>
    <w:p w14:paraId="2F332FB5" w14:textId="77777777" w:rsidR="005C595A" w:rsidRPr="00100C98" w:rsidRDefault="005C595A" w:rsidP="005C595A">
      <w:pPr>
        <w:spacing w:after="0" w:line="276" w:lineRule="auto"/>
        <w:jc w:val="both"/>
        <w:rPr>
          <w:rFonts w:ascii="Open Sans" w:hAnsi="Open Sans" w:cs="Open Sans"/>
        </w:rPr>
      </w:pPr>
    </w:p>
    <w:p w14:paraId="6F35C9EB" w14:textId="77777777" w:rsidR="005C595A" w:rsidRPr="00100C98" w:rsidRDefault="005C595A" w:rsidP="00F72CD5">
      <w:pPr>
        <w:spacing w:after="0" w:line="276" w:lineRule="auto"/>
        <w:ind w:left="993" w:hanging="993"/>
        <w:jc w:val="both"/>
        <w:rPr>
          <w:rFonts w:ascii="Open Sans" w:hAnsi="Open Sans" w:cs="Open Sans"/>
          <w:b/>
        </w:rPr>
      </w:pPr>
    </w:p>
    <w:p w14:paraId="0648405B" w14:textId="374BC8B2" w:rsidR="006F4444" w:rsidRPr="00100C98" w:rsidRDefault="00557946" w:rsidP="00F72CD5">
      <w:pPr>
        <w:spacing w:after="0" w:line="276" w:lineRule="auto"/>
        <w:ind w:left="993" w:hanging="993"/>
        <w:jc w:val="both"/>
        <w:rPr>
          <w:rFonts w:ascii="Open Sans" w:hAnsi="Open Sans" w:cs="Open Sans"/>
          <w:b/>
        </w:rPr>
      </w:pPr>
      <w:r w:rsidRPr="00100C98">
        <w:rPr>
          <w:rFonts w:ascii="Open Sans" w:hAnsi="Open Sans" w:cs="Open Sans"/>
          <w:b/>
        </w:rPr>
        <w:t xml:space="preserve">KROK </w:t>
      </w:r>
      <w:r w:rsidR="009853C9" w:rsidRPr="00100C98">
        <w:rPr>
          <w:rFonts w:ascii="Open Sans" w:hAnsi="Open Sans" w:cs="Open Sans"/>
          <w:b/>
        </w:rPr>
        <w:t>3</w:t>
      </w:r>
      <w:r w:rsidR="009853C9" w:rsidRPr="00100C98">
        <w:rPr>
          <w:rFonts w:ascii="Open Sans" w:hAnsi="Open Sans" w:cs="Open Sans"/>
          <w:b/>
        </w:rPr>
        <w:t xml:space="preserve"> </w:t>
      </w:r>
      <w:r w:rsidRPr="00100C98">
        <w:rPr>
          <w:rFonts w:ascii="Open Sans" w:hAnsi="Open Sans" w:cs="Open Sans"/>
          <w:b/>
        </w:rPr>
        <w:t xml:space="preserve">- </w:t>
      </w:r>
      <w:r w:rsidR="006F4444" w:rsidRPr="00100C98">
        <w:rPr>
          <w:rFonts w:ascii="Open Sans" w:hAnsi="Open Sans" w:cs="Open Sans"/>
          <w:b/>
        </w:rPr>
        <w:t xml:space="preserve">Wyliczenie maksymalnej wartości </w:t>
      </w:r>
      <w:r w:rsidR="00D479F6" w:rsidRPr="00100C98">
        <w:rPr>
          <w:rFonts w:ascii="Open Sans" w:hAnsi="Open Sans" w:cs="Open Sans"/>
          <w:b/>
        </w:rPr>
        <w:t xml:space="preserve">(EDB) </w:t>
      </w:r>
      <w:r w:rsidR="006F4444" w:rsidRPr="00100C98">
        <w:rPr>
          <w:rFonts w:ascii="Open Sans" w:hAnsi="Open Sans" w:cs="Open Sans"/>
          <w:b/>
        </w:rPr>
        <w:t xml:space="preserve">pomocy publicznej </w:t>
      </w:r>
      <w:r w:rsidR="009853C9" w:rsidRPr="00100C98">
        <w:rPr>
          <w:rFonts w:ascii="Open Sans" w:hAnsi="Open Sans" w:cs="Open Sans"/>
          <w:b/>
        </w:rPr>
        <w:t xml:space="preserve">na </w:t>
      </w:r>
      <w:r w:rsidR="009853C9" w:rsidRPr="00100C98">
        <w:rPr>
          <w:rFonts w:ascii="Open Sans" w:hAnsi="Open Sans" w:cs="Open Sans"/>
          <w:b/>
        </w:rPr>
        <w:t>poszczególn</w:t>
      </w:r>
      <w:r w:rsidR="009853C9" w:rsidRPr="00100C98">
        <w:rPr>
          <w:rFonts w:ascii="Open Sans" w:hAnsi="Open Sans" w:cs="Open Sans"/>
          <w:b/>
        </w:rPr>
        <w:t>e</w:t>
      </w:r>
      <w:r w:rsidR="009853C9" w:rsidRPr="00100C98">
        <w:rPr>
          <w:rFonts w:ascii="Open Sans" w:hAnsi="Open Sans" w:cs="Open Sans"/>
          <w:b/>
        </w:rPr>
        <w:t xml:space="preserve"> element</w:t>
      </w:r>
      <w:r w:rsidR="009853C9" w:rsidRPr="00100C98">
        <w:rPr>
          <w:rFonts w:ascii="Open Sans" w:hAnsi="Open Sans" w:cs="Open Sans"/>
          <w:b/>
        </w:rPr>
        <w:t>y</w:t>
      </w:r>
      <w:r w:rsidR="009853C9" w:rsidRPr="00100C98">
        <w:rPr>
          <w:rFonts w:ascii="Open Sans" w:hAnsi="Open Sans" w:cs="Open Sans"/>
          <w:b/>
        </w:rPr>
        <w:t xml:space="preserve"> przedsięwzięcia</w:t>
      </w:r>
    </w:p>
    <w:p w14:paraId="1CD99650" w14:textId="77777777" w:rsidR="00ED6CEE" w:rsidRPr="00100C98" w:rsidRDefault="00ED6CEE" w:rsidP="00262725">
      <w:pPr>
        <w:spacing w:after="0" w:line="276" w:lineRule="auto"/>
        <w:rPr>
          <w:rFonts w:ascii="Open Sans" w:hAnsi="Open Sans" w:cs="Open Sans"/>
        </w:rPr>
      </w:pPr>
    </w:p>
    <w:p w14:paraId="3BA3B5CB" w14:textId="43E69C28" w:rsidR="005C595A" w:rsidRPr="00100C98" w:rsidRDefault="009853C9" w:rsidP="005C595A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Maksymalną</w:t>
      </w:r>
      <w:r w:rsidRPr="00100C98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>wartość</w:t>
      </w:r>
      <w:r w:rsidRPr="00100C98">
        <w:rPr>
          <w:rFonts w:ascii="Open Sans" w:hAnsi="Open Sans" w:cs="Open Sans"/>
        </w:rPr>
        <w:t xml:space="preserve"> </w:t>
      </w:r>
      <w:r w:rsidR="005C595A" w:rsidRPr="00100C98">
        <w:rPr>
          <w:rFonts w:ascii="Open Sans" w:hAnsi="Open Sans" w:cs="Open Sans"/>
        </w:rPr>
        <w:t xml:space="preserve">pomocy publicznej </w:t>
      </w:r>
      <w:r w:rsidRPr="00100C98">
        <w:rPr>
          <w:rFonts w:ascii="Open Sans" w:hAnsi="Open Sans" w:cs="Open Sans"/>
        </w:rPr>
        <w:t>na poszczególne elementy przedsięwzięcia</w:t>
      </w:r>
      <w:r w:rsidRPr="00100C98">
        <w:rPr>
          <w:rFonts w:ascii="Open Sans" w:hAnsi="Open Sans" w:cs="Open Sans"/>
        </w:rPr>
        <w:t xml:space="preserve"> </w:t>
      </w:r>
      <w:r w:rsidR="005C595A" w:rsidRPr="00100C98">
        <w:rPr>
          <w:rFonts w:ascii="Open Sans" w:hAnsi="Open Sans" w:cs="Open Sans"/>
        </w:rPr>
        <w:t>należy wyliczyć w „Kalkulator</w:t>
      </w:r>
      <w:r w:rsidR="009B6F43" w:rsidRPr="00100C98">
        <w:rPr>
          <w:rFonts w:ascii="Open Sans" w:hAnsi="Open Sans" w:cs="Open Sans"/>
        </w:rPr>
        <w:t>ze</w:t>
      </w:r>
      <w:r w:rsidR="005C595A" w:rsidRPr="00100C98">
        <w:rPr>
          <w:rFonts w:ascii="Open Sans" w:hAnsi="Open Sans" w:cs="Open Sans"/>
        </w:rPr>
        <w:t xml:space="preserve"> pomocy publicznej”. W zależności od zakresu </w:t>
      </w:r>
      <w:r w:rsidR="000C2BA2" w:rsidRPr="00100C98">
        <w:rPr>
          <w:rFonts w:ascii="Open Sans" w:hAnsi="Open Sans" w:cs="Open Sans"/>
        </w:rPr>
        <w:t>przedsięwzięcia</w:t>
      </w:r>
      <w:r w:rsidR="005C595A" w:rsidRPr="00100C98">
        <w:rPr>
          <w:rFonts w:ascii="Open Sans" w:hAnsi="Open Sans" w:cs="Open Sans"/>
        </w:rPr>
        <w:t xml:space="preserve"> ustaleniu podlega:</w:t>
      </w:r>
    </w:p>
    <w:p w14:paraId="35C76B7F" w14:textId="010181FA" w:rsidR="005C595A" w:rsidRPr="00100C98" w:rsidRDefault="005C595A" w:rsidP="005C595A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(a) </w:t>
      </w:r>
      <w:r w:rsidR="009853C9" w:rsidRPr="00100C98">
        <w:rPr>
          <w:rFonts w:ascii="Open Sans" w:hAnsi="Open Sans" w:cs="Open Sans"/>
        </w:rPr>
        <w:t>maksym</w:t>
      </w:r>
      <w:r w:rsidR="009853C9" w:rsidRPr="00100C98">
        <w:rPr>
          <w:rFonts w:ascii="Open Sans" w:hAnsi="Open Sans" w:cs="Open Sans"/>
        </w:rPr>
        <w:t xml:space="preserve">alna </w:t>
      </w:r>
      <w:r w:rsidRPr="00100C98">
        <w:rPr>
          <w:rFonts w:ascii="Open Sans" w:hAnsi="Open Sans" w:cs="Open Sans"/>
        </w:rPr>
        <w:t>kwota pomocy na zakres kosztów dotyczących sieci ciepłowniczych</w:t>
      </w:r>
      <w:r w:rsidR="009B6F43" w:rsidRPr="00100C98">
        <w:rPr>
          <w:rFonts w:ascii="Open Sans" w:hAnsi="Open Sans" w:cs="Open Sans"/>
        </w:rPr>
        <w:t>,</w:t>
      </w:r>
    </w:p>
    <w:p w14:paraId="3A72F976" w14:textId="13D361F7" w:rsidR="005C595A" w:rsidRPr="00100C98" w:rsidRDefault="005C595A" w:rsidP="005C595A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(b) </w:t>
      </w:r>
      <w:r w:rsidR="009853C9" w:rsidRPr="00100C98">
        <w:rPr>
          <w:rFonts w:ascii="Open Sans" w:hAnsi="Open Sans" w:cs="Open Sans"/>
        </w:rPr>
        <w:t>maksym</w:t>
      </w:r>
      <w:r w:rsidR="009853C9" w:rsidRPr="00100C98">
        <w:rPr>
          <w:rFonts w:ascii="Open Sans" w:hAnsi="Open Sans" w:cs="Open Sans"/>
        </w:rPr>
        <w:t>alna</w:t>
      </w:r>
      <w:r w:rsidR="009853C9" w:rsidRPr="00100C98" w:rsidDel="009853C9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 xml:space="preserve"> kwota pomocy na magazyny ciepła</w:t>
      </w:r>
      <w:r w:rsidR="009B6F43" w:rsidRPr="00100C98">
        <w:rPr>
          <w:rFonts w:ascii="Open Sans" w:hAnsi="Open Sans" w:cs="Open Sans"/>
        </w:rPr>
        <w:t>,</w:t>
      </w:r>
    </w:p>
    <w:p w14:paraId="3D965425" w14:textId="12FB662B" w:rsidR="005C595A" w:rsidRPr="00100C98" w:rsidRDefault="005C595A" w:rsidP="005C595A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(c) </w:t>
      </w:r>
      <w:r w:rsidR="009853C9" w:rsidRPr="00100C98">
        <w:rPr>
          <w:rFonts w:ascii="Open Sans" w:hAnsi="Open Sans" w:cs="Open Sans"/>
        </w:rPr>
        <w:t>maksym</w:t>
      </w:r>
      <w:r w:rsidR="009853C9" w:rsidRPr="00100C98">
        <w:rPr>
          <w:rFonts w:ascii="Open Sans" w:hAnsi="Open Sans" w:cs="Open Sans"/>
        </w:rPr>
        <w:t>alna</w:t>
      </w:r>
      <w:r w:rsidR="009853C9" w:rsidRPr="00100C98" w:rsidDel="009853C9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 xml:space="preserve">kwota pomocy na </w:t>
      </w:r>
      <w:r w:rsidR="0026712A" w:rsidRPr="00100C98">
        <w:rPr>
          <w:rFonts w:ascii="Open Sans" w:hAnsi="Open Sans" w:cs="Open Sans"/>
        </w:rPr>
        <w:t>instalacje wytwórcze</w:t>
      </w:r>
      <w:r w:rsidRPr="00100C98">
        <w:rPr>
          <w:rFonts w:ascii="Open Sans" w:hAnsi="Open Sans" w:cs="Open Sans"/>
        </w:rPr>
        <w:t xml:space="preserve"> OZE zasilające węzły hybrydowe</w:t>
      </w:r>
      <w:r w:rsidR="009B6F43" w:rsidRPr="00100C98">
        <w:rPr>
          <w:rFonts w:ascii="Open Sans" w:hAnsi="Open Sans" w:cs="Open Sans"/>
        </w:rPr>
        <w:t>,</w:t>
      </w:r>
    </w:p>
    <w:p w14:paraId="490D15D3" w14:textId="64E36FDD" w:rsidR="005C595A" w:rsidRPr="00100C98" w:rsidRDefault="005C595A" w:rsidP="005C595A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(d) </w:t>
      </w:r>
      <w:r w:rsidR="009853C9" w:rsidRPr="00100C98">
        <w:rPr>
          <w:rFonts w:ascii="Open Sans" w:hAnsi="Open Sans" w:cs="Open Sans"/>
        </w:rPr>
        <w:t>maksym</w:t>
      </w:r>
      <w:r w:rsidR="009853C9" w:rsidRPr="00100C98">
        <w:rPr>
          <w:rFonts w:ascii="Open Sans" w:hAnsi="Open Sans" w:cs="Open Sans"/>
        </w:rPr>
        <w:t>alna</w:t>
      </w:r>
      <w:r w:rsidR="009853C9" w:rsidRPr="00100C98" w:rsidDel="009853C9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>kwota pomocy na działania edukacyjne</w:t>
      </w:r>
      <w:r w:rsidR="009B6F43" w:rsidRPr="00100C98">
        <w:rPr>
          <w:rFonts w:ascii="Open Sans" w:hAnsi="Open Sans" w:cs="Open Sans"/>
        </w:rPr>
        <w:t>.</w:t>
      </w:r>
    </w:p>
    <w:p w14:paraId="4E0DC324" w14:textId="77777777" w:rsidR="005C595A" w:rsidRPr="00100C98" w:rsidRDefault="005C595A" w:rsidP="00F72CD5">
      <w:pPr>
        <w:spacing w:after="0" w:line="276" w:lineRule="auto"/>
        <w:jc w:val="both"/>
        <w:rPr>
          <w:rFonts w:ascii="Open Sans" w:hAnsi="Open Sans" w:cs="Open Sans"/>
        </w:rPr>
      </w:pPr>
    </w:p>
    <w:p w14:paraId="4999CE02" w14:textId="77777777" w:rsidR="005C595A" w:rsidRPr="00100C98" w:rsidRDefault="005C595A" w:rsidP="00F72CD5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(a)</w:t>
      </w:r>
    </w:p>
    <w:p w14:paraId="626837D4" w14:textId="691C9071" w:rsidR="006F4444" w:rsidRPr="00100C98" w:rsidRDefault="00F72CD5" w:rsidP="00F72CD5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Dopuszczalną </w:t>
      </w:r>
      <w:r w:rsidR="00ED6CEE" w:rsidRPr="00100C98">
        <w:rPr>
          <w:rFonts w:ascii="Open Sans" w:hAnsi="Open Sans" w:cs="Open Sans"/>
        </w:rPr>
        <w:t xml:space="preserve">wartość pomocy publicznej </w:t>
      </w:r>
      <w:r w:rsidRPr="00100C98">
        <w:rPr>
          <w:rFonts w:ascii="Open Sans" w:hAnsi="Open Sans" w:cs="Open Sans"/>
        </w:rPr>
        <w:t xml:space="preserve">przypadającą </w:t>
      </w:r>
      <w:r w:rsidR="00ED6CEE" w:rsidRPr="00100C98">
        <w:rPr>
          <w:rFonts w:ascii="Open Sans" w:hAnsi="Open Sans" w:cs="Open Sans"/>
        </w:rPr>
        <w:t xml:space="preserve">na koszty </w:t>
      </w:r>
      <w:r w:rsidRPr="00100C98">
        <w:rPr>
          <w:rFonts w:ascii="Open Sans" w:hAnsi="Open Sans" w:cs="Open Sans"/>
        </w:rPr>
        <w:t xml:space="preserve">dotyczące sieci ciepłowniczych </w:t>
      </w:r>
      <w:r w:rsidR="00281FE9" w:rsidRPr="00100C98">
        <w:rPr>
          <w:rFonts w:ascii="Open Sans" w:hAnsi="Open Sans" w:cs="Open Sans"/>
        </w:rPr>
        <w:t xml:space="preserve">należy obliczyć stosując </w:t>
      </w:r>
      <w:r w:rsidR="00281FE9" w:rsidRPr="00100C98">
        <w:rPr>
          <w:rFonts w:ascii="Open Sans" w:hAnsi="Open Sans" w:cs="Open Sans"/>
          <w:u w:val="single"/>
        </w:rPr>
        <w:t>metodę wskazaną w § 9 ust. 5</w:t>
      </w:r>
      <w:r w:rsidR="00281FE9" w:rsidRPr="00100C98">
        <w:rPr>
          <w:rFonts w:ascii="Open Sans" w:hAnsi="Open Sans" w:cs="Open Sans"/>
        </w:rPr>
        <w:t xml:space="preserve"> </w:t>
      </w:r>
      <w:r w:rsidR="00281FE9" w:rsidRPr="00100C98">
        <w:rPr>
          <w:rFonts w:ascii="Open Sans" w:hAnsi="Open Sans" w:cs="Open Sans"/>
          <w:i/>
          <w:iCs/>
        </w:rPr>
        <w:t xml:space="preserve">rozporządzenia Ministra Klimatu </w:t>
      </w:r>
      <w:r w:rsidR="00B95926" w:rsidRPr="00100C98">
        <w:rPr>
          <w:rFonts w:ascii="Open Sans" w:hAnsi="Open Sans" w:cs="Open Sans"/>
          <w:i/>
          <w:iCs/>
        </w:rPr>
        <w:t>i </w:t>
      </w:r>
      <w:r w:rsidR="00281FE9" w:rsidRPr="00100C98">
        <w:rPr>
          <w:rFonts w:ascii="Open Sans" w:hAnsi="Open Sans" w:cs="Open Sans"/>
          <w:i/>
          <w:iCs/>
        </w:rPr>
        <w:t xml:space="preserve">Środowiska z dnia </w:t>
      </w:r>
      <w:r w:rsidR="00C60F82" w:rsidRPr="00100C98">
        <w:rPr>
          <w:rFonts w:ascii="Open Sans" w:hAnsi="Open Sans" w:cs="Open Sans"/>
          <w:i/>
          <w:iCs/>
        </w:rPr>
        <w:t>22 listopada 2023 r.</w:t>
      </w:r>
      <w:r w:rsidR="00281FE9" w:rsidRPr="00100C98">
        <w:rPr>
          <w:rFonts w:ascii="Open Sans" w:hAnsi="Open Sans" w:cs="Open Sans"/>
          <w:i/>
          <w:iCs/>
        </w:rPr>
        <w:t xml:space="preserve"> w sprawie udzielania pomocy publicznej na inwestycje w sieć dystrybucji w obszarze efektywnego energetycznie systemu ciepłowniczego i chłodniczego w ramach programu </w:t>
      </w:r>
      <w:r w:rsidR="009B6F43" w:rsidRPr="00100C98">
        <w:rPr>
          <w:rFonts w:ascii="Open Sans" w:hAnsi="Open Sans" w:cs="Open Sans"/>
          <w:i/>
          <w:iCs/>
        </w:rPr>
        <w:t>„</w:t>
      </w:r>
      <w:r w:rsidR="00281FE9" w:rsidRPr="00100C98">
        <w:rPr>
          <w:rFonts w:ascii="Open Sans" w:hAnsi="Open Sans" w:cs="Open Sans"/>
          <w:i/>
          <w:iCs/>
        </w:rPr>
        <w:t>Fundusze Europejskie na Infrastrukturę, Klimat, Środowisko 2021–2027</w:t>
      </w:r>
      <w:r w:rsidR="009B6F43" w:rsidRPr="00100C98">
        <w:rPr>
          <w:rFonts w:ascii="Open Sans" w:hAnsi="Open Sans" w:cs="Open Sans"/>
          <w:i/>
          <w:iCs/>
        </w:rPr>
        <w:t>”</w:t>
      </w:r>
      <w:r w:rsidR="00281FE9" w:rsidRPr="00100C98">
        <w:rPr>
          <w:rFonts w:ascii="Open Sans" w:hAnsi="Open Sans" w:cs="Open Sans"/>
        </w:rPr>
        <w:t xml:space="preserve">. Zgodnie z tą metodą </w:t>
      </w:r>
      <w:r w:rsidRPr="00100C98">
        <w:rPr>
          <w:rFonts w:ascii="Open Sans" w:hAnsi="Open Sans" w:cs="Open Sans"/>
        </w:rPr>
        <w:t xml:space="preserve">dopuszczalna </w:t>
      </w:r>
      <w:r w:rsidR="00281FE9" w:rsidRPr="00100C98">
        <w:rPr>
          <w:rFonts w:ascii="Open Sans" w:hAnsi="Open Sans" w:cs="Open Sans"/>
        </w:rPr>
        <w:t xml:space="preserve">wartość pomocy </w:t>
      </w:r>
      <w:r w:rsidR="00ED6CEE" w:rsidRPr="00100C98">
        <w:rPr>
          <w:rFonts w:ascii="Open Sans" w:hAnsi="Open Sans" w:cs="Open Sans"/>
        </w:rPr>
        <w:t xml:space="preserve">wynosi 100% </w:t>
      </w:r>
      <w:r w:rsidR="00ED6CEE" w:rsidRPr="00100C98">
        <w:rPr>
          <w:rFonts w:ascii="Open Sans" w:hAnsi="Open Sans" w:cs="Open Sans"/>
          <w:color w:val="000000"/>
          <w:shd w:val="clear" w:color="auto" w:fill="FFFFFF"/>
        </w:rPr>
        <w:t>luk</w:t>
      </w:r>
      <w:r w:rsidR="00281FE9" w:rsidRPr="00100C98">
        <w:rPr>
          <w:rFonts w:ascii="Open Sans" w:hAnsi="Open Sans" w:cs="Open Sans"/>
          <w:color w:val="000000"/>
          <w:shd w:val="clear" w:color="auto" w:fill="FFFFFF"/>
        </w:rPr>
        <w:t>i</w:t>
      </w:r>
      <w:r w:rsidR="00ED6CEE" w:rsidRPr="00100C98">
        <w:rPr>
          <w:rFonts w:ascii="Open Sans" w:hAnsi="Open Sans" w:cs="Open Sans"/>
          <w:color w:val="000000"/>
          <w:shd w:val="clear" w:color="auto" w:fill="FFFFFF"/>
        </w:rPr>
        <w:t xml:space="preserve"> w finansowaniu</w:t>
      </w:r>
      <w:r w:rsidR="00F0330D" w:rsidRPr="00100C98">
        <w:rPr>
          <w:rStyle w:val="Odwoanieprzypisudolnego"/>
          <w:rFonts w:ascii="Open Sans" w:hAnsi="Open Sans" w:cs="Open Sans"/>
          <w:color w:val="000000"/>
          <w:shd w:val="clear" w:color="auto" w:fill="FFFFFF"/>
        </w:rPr>
        <w:footnoteReference w:id="6"/>
      </w:r>
      <w:r w:rsidR="00ED6CEE" w:rsidRPr="00100C98">
        <w:rPr>
          <w:rFonts w:ascii="Open Sans" w:hAnsi="Open Sans" w:cs="Open Sans"/>
          <w:color w:val="000000"/>
          <w:shd w:val="clear" w:color="auto" w:fill="FFFFFF"/>
        </w:rPr>
        <w:t xml:space="preserve">. </w:t>
      </w:r>
      <w:r w:rsidR="00F0330D" w:rsidRPr="00100C98">
        <w:rPr>
          <w:rFonts w:ascii="Open Sans" w:hAnsi="Open Sans" w:cs="Open Sans"/>
          <w:color w:val="000000"/>
          <w:shd w:val="clear" w:color="auto" w:fill="FFFFFF"/>
        </w:rPr>
        <w:t>W</w:t>
      </w:r>
      <w:r w:rsidR="006E10DA" w:rsidRPr="00100C98">
        <w:rPr>
          <w:rFonts w:ascii="Open Sans" w:hAnsi="Open Sans" w:cs="Open Sans"/>
        </w:rPr>
        <w:t xml:space="preserve"> przypadku sieci dystrybucji ciepła „l</w:t>
      </w:r>
      <w:r w:rsidR="00A82DAF" w:rsidRPr="00100C98">
        <w:rPr>
          <w:rFonts w:ascii="Open Sans" w:hAnsi="Open Sans" w:cs="Open Sans"/>
        </w:rPr>
        <w:t>uk</w:t>
      </w:r>
      <w:r w:rsidR="006E10DA" w:rsidRPr="00100C98">
        <w:rPr>
          <w:rFonts w:ascii="Open Sans" w:hAnsi="Open Sans" w:cs="Open Sans"/>
        </w:rPr>
        <w:t>ą</w:t>
      </w:r>
      <w:r w:rsidR="00A82DAF" w:rsidRPr="00100C98">
        <w:rPr>
          <w:rFonts w:ascii="Open Sans" w:hAnsi="Open Sans" w:cs="Open Sans"/>
        </w:rPr>
        <w:t xml:space="preserve"> w finansowaniu</w:t>
      </w:r>
      <w:r w:rsidR="006E10DA" w:rsidRPr="00100C98">
        <w:rPr>
          <w:rFonts w:ascii="Open Sans" w:hAnsi="Open Sans" w:cs="Open Sans"/>
        </w:rPr>
        <w:t xml:space="preserve">” będzie wartość NPV </w:t>
      </w:r>
      <w:r w:rsidR="00525EE4" w:rsidRPr="00100C98">
        <w:rPr>
          <w:rFonts w:ascii="Open Sans" w:hAnsi="Open Sans" w:cs="Open Sans"/>
        </w:rPr>
        <w:t xml:space="preserve">(luka odpowiada ujemnej wartości NPV) </w:t>
      </w:r>
      <w:r w:rsidR="006E10DA" w:rsidRPr="00100C98">
        <w:rPr>
          <w:rFonts w:ascii="Open Sans" w:hAnsi="Open Sans" w:cs="Open Sans"/>
        </w:rPr>
        <w:t>wyliczona na podstawie przepływów dla projektu analogicznych jak na potrzeby analizy finansowej</w:t>
      </w:r>
      <w:r w:rsidR="00242A25" w:rsidRPr="00100C98">
        <w:rPr>
          <w:rFonts w:ascii="Open Sans" w:hAnsi="Open Sans" w:cs="Open Sans"/>
        </w:rPr>
        <w:t xml:space="preserve">, lecz </w:t>
      </w:r>
      <w:r w:rsidR="00835523" w:rsidRPr="00100C98">
        <w:rPr>
          <w:rFonts w:ascii="Open Sans" w:hAnsi="Open Sans" w:cs="Open Sans"/>
        </w:rPr>
        <w:t xml:space="preserve">bez </w:t>
      </w:r>
      <w:r w:rsidRPr="00100C98">
        <w:rPr>
          <w:rFonts w:ascii="Open Sans" w:hAnsi="Open Sans" w:cs="Open Sans"/>
        </w:rPr>
        <w:t>uwzględniania ewentualnych magazynów ciepła,</w:t>
      </w:r>
      <w:r w:rsidRPr="00100C98">
        <w:t xml:space="preserve"> </w:t>
      </w:r>
      <w:r w:rsidR="009B6F43" w:rsidRPr="00100C98">
        <w:rPr>
          <w:rFonts w:ascii="Open Sans" w:hAnsi="Open Sans" w:cs="Open Sans"/>
        </w:rPr>
        <w:t>instalacji wytwórczych</w:t>
      </w:r>
      <w:r w:rsidR="009B6F43" w:rsidRPr="00100C98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 xml:space="preserve">OZE zasilających węzły hybrydowe i </w:t>
      </w:r>
      <w:r w:rsidR="00835523" w:rsidRPr="00100C98">
        <w:rPr>
          <w:rFonts w:ascii="Open Sans" w:hAnsi="Open Sans" w:cs="Open Sans"/>
        </w:rPr>
        <w:t>działań edukacyjnych</w:t>
      </w:r>
      <w:r w:rsidR="00242A25" w:rsidRPr="00100C98">
        <w:rPr>
          <w:rFonts w:ascii="Open Sans" w:hAnsi="Open Sans" w:cs="Open Sans"/>
        </w:rPr>
        <w:t xml:space="preserve"> </w:t>
      </w:r>
      <w:r w:rsidR="009B6F43" w:rsidRPr="00100C98">
        <w:rPr>
          <w:rFonts w:ascii="Open Sans" w:hAnsi="Open Sans" w:cs="Open Sans"/>
        </w:rPr>
        <w:t>(</w:t>
      </w:r>
      <w:r w:rsidR="009B6F43" w:rsidRPr="00100C98">
        <w:rPr>
          <w:rFonts w:ascii="Open Sans" w:hAnsi="Open Sans" w:cs="Open Sans"/>
        </w:rPr>
        <w:t>tj. bez kosztów wykonania tych elementów</w:t>
      </w:r>
      <w:r w:rsidR="009B6F43" w:rsidRPr="00100C98">
        <w:rPr>
          <w:rFonts w:ascii="Open Sans" w:hAnsi="Open Sans" w:cs="Open Sans"/>
        </w:rPr>
        <w:t xml:space="preserve">, jak i </w:t>
      </w:r>
      <w:r w:rsidR="00525EE4" w:rsidRPr="00100C98">
        <w:rPr>
          <w:rFonts w:ascii="Open Sans" w:hAnsi="Open Sans" w:cs="Open Sans"/>
        </w:rPr>
        <w:t xml:space="preserve">bez </w:t>
      </w:r>
      <w:r w:rsidR="009B6F43" w:rsidRPr="00100C98">
        <w:rPr>
          <w:rFonts w:ascii="Open Sans" w:hAnsi="Open Sans" w:cs="Open Sans"/>
        </w:rPr>
        <w:t xml:space="preserve">związanych z nimi </w:t>
      </w:r>
      <w:r w:rsidR="009B6F43" w:rsidRPr="00100C98">
        <w:rPr>
          <w:rFonts w:ascii="Open Sans" w:hAnsi="Open Sans" w:cs="Open Sans"/>
        </w:rPr>
        <w:t xml:space="preserve">kosztów eksploatacyjnych i przychodów) </w:t>
      </w:r>
      <w:r w:rsidRPr="00100C98">
        <w:rPr>
          <w:rFonts w:ascii="Open Sans" w:hAnsi="Open Sans" w:cs="Open Sans"/>
        </w:rPr>
        <w:t>oraz</w:t>
      </w:r>
      <w:r w:rsidR="00242A25" w:rsidRPr="00100C98">
        <w:rPr>
          <w:rFonts w:ascii="Open Sans" w:hAnsi="Open Sans" w:cs="Open Sans"/>
        </w:rPr>
        <w:t xml:space="preserve"> bez uwzględniania finansowania inwestycji</w:t>
      </w:r>
      <w:r w:rsidR="006E10DA" w:rsidRPr="00100C98">
        <w:rPr>
          <w:rFonts w:ascii="Open Sans" w:hAnsi="Open Sans" w:cs="Open Sans"/>
        </w:rPr>
        <w:t>.</w:t>
      </w:r>
    </w:p>
    <w:p w14:paraId="6860FBB1" w14:textId="77777777" w:rsidR="00824654" w:rsidRPr="00100C98" w:rsidRDefault="00824654" w:rsidP="00262725">
      <w:pPr>
        <w:spacing w:after="0" w:line="276" w:lineRule="auto"/>
        <w:rPr>
          <w:rFonts w:ascii="Open Sans" w:hAnsi="Open Sans" w:cs="Open Sans"/>
          <w:color w:val="000000"/>
          <w:shd w:val="clear" w:color="auto" w:fill="FFFFFF"/>
        </w:rPr>
      </w:pPr>
    </w:p>
    <w:p w14:paraId="5EDFD7A4" w14:textId="74A02653" w:rsidR="005605DB" w:rsidRPr="00100C98" w:rsidRDefault="00824654" w:rsidP="00F72CD5">
      <w:pPr>
        <w:spacing w:after="0" w:line="276" w:lineRule="auto"/>
        <w:jc w:val="both"/>
        <w:rPr>
          <w:rFonts w:ascii="Open Sans" w:hAnsi="Open Sans" w:cs="Open Sans"/>
          <w:color w:val="000000"/>
          <w:shd w:val="clear" w:color="auto" w:fill="FFFFFF"/>
        </w:rPr>
      </w:pPr>
      <w:r w:rsidRPr="00100C98">
        <w:rPr>
          <w:rFonts w:ascii="Open Sans" w:hAnsi="Open Sans" w:cs="Open Sans"/>
          <w:color w:val="000000"/>
          <w:shd w:val="clear" w:color="auto" w:fill="FFFFFF"/>
        </w:rPr>
        <w:t xml:space="preserve">W celu obliczenia </w:t>
      </w:r>
      <w:r w:rsidR="00835523" w:rsidRPr="00100C98">
        <w:rPr>
          <w:rFonts w:ascii="Open Sans" w:hAnsi="Open Sans" w:cs="Open Sans"/>
          <w:color w:val="000000"/>
          <w:shd w:val="clear" w:color="auto" w:fill="FFFFFF"/>
        </w:rPr>
        <w:t xml:space="preserve">„luki w finansowaniu” (tj. </w:t>
      </w:r>
      <w:r w:rsidRPr="00100C98">
        <w:rPr>
          <w:rFonts w:ascii="Open Sans" w:hAnsi="Open Sans" w:cs="Open Sans"/>
          <w:color w:val="000000"/>
          <w:shd w:val="clear" w:color="auto" w:fill="FFFFFF"/>
        </w:rPr>
        <w:t xml:space="preserve">NPV </w:t>
      </w:r>
      <w:r w:rsidR="00835523" w:rsidRPr="00100C98">
        <w:rPr>
          <w:rFonts w:ascii="Open Sans" w:hAnsi="Open Sans" w:cs="Open Sans"/>
          <w:color w:val="000000"/>
          <w:shd w:val="clear" w:color="auto" w:fill="FFFFFF"/>
        </w:rPr>
        <w:t>projektu)</w:t>
      </w:r>
      <w:r w:rsidRPr="00100C98">
        <w:rPr>
          <w:rFonts w:ascii="Open Sans" w:hAnsi="Open Sans" w:cs="Open Sans"/>
          <w:color w:val="000000"/>
          <w:shd w:val="clear" w:color="auto" w:fill="FFFFFF"/>
        </w:rPr>
        <w:t xml:space="preserve"> do dyskontowania należy stosować średni ważony koszt kapitału przed opodatkowaniem</w:t>
      </w:r>
      <w:r w:rsidRPr="00100C98">
        <w:rPr>
          <w:rStyle w:val="Odwoanieprzypisudolnego"/>
          <w:rFonts w:ascii="Open Sans" w:hAnsi="Open Sans" w:cs="Open Sans"/>
          <w:color w:val="000000"/>
          <w:shd w:val="clear" w:color="auto" w:fill="FFFFFF"/>
        </w:rPr>
        <w:footnoteReference w:id="7"/>
      </w:r>
      <w:r w:rsidRPr="00100C98">
        <w:rPr>
          <w:rFonts w:ascii="Open Sans" w:hAnsi="Open Sans" w:cs="Open Sans"/>
          <w:color w:val="000000"/>
          <w:shd w:val="clear" w:color="auto" w:fill="FFFFFF"/>
        </w:rPr>
        <w:t>. W zależności od tego</w:t>
      </w:r>
      <w:r w:rsidR="00F72CD5" w:rsidRPr="00100C98">
        <w:rPr>
          <w:rFonts w:ascii="Open Sans" w:hAnsi="Open Sans" w:cs="Open Sans"/>
          <w:color w:val="000000"/>
          <w:shd w:val="clear" w:color="auto" w:fill="FFFFFF"/>
        </w:rPr>
        <w:t>,</w:t>
      </w:r>
      <w:r w:rsidRPr="00100C98">
        <w:rPr>
          <w:rFonts w:ascii="Open Sans" w:hAnsi="Open Sans" w:cs="Open Sans"/>
          <w:color w:val="000000"/>
          <w:shd w:val="clear" w:color="auto" w:fill="FFFFFF"/>
        </w:rPr>
        <w:t xml:space="preserve"> czy prognoza </w:t>
      </w:r>
      <w:r w:rsidRPr="00100C98">
        <w:rPr>
          <w:rFonts w:ascii="Open Sans" w:hAnsi="Open Sans" w:cs="Open Sans"/>
          <w:color w:val="000000"/>
          <w:shd w:val="clear" w:color="auto" w:fill="FFFFFF"/>
        </w:rPr>
        <w:lastRenderedPageBreak/>
        <w:t xml:space="preserve">sporządzana jest w cenach stałych czy bieżących, do dyskontowania należy zastosować odpowiednią stopę </w:t>
      </w:r>
      <w:r w:rsidRPr="00100C98">
        <w:rPr>
          <w:rFonts w:ascii="Open Sans" w:hAnsi="Open Sans" w:cs="Open Sans"/>
          <w:b/>
          <w:color w:val="000000"/>
          <w:shd w:val="clear" w:color="auto" w:fill="FFFFFF"/>
        </w:rPr>
        <w:t>WACC</w:t>
      </w:r>
      <w:r w:rsidRPr="00100C98">
        <w:rPr>
          <w:rFonts w:ascii="Open Sans" w:hAnsi="Open Sans" w:cs="Open Sans"/>
          <w:color w:val="000000"/>
          <w:shd w:val="clear" w:color="auto" w:fill="FFFFFF"/>
        </w:rPr>
        <w:t xml:space="preserve"> – realną bądź nominalną. </w:t>
      </w:r>
    </w:p>
    <w:p w14:paraId="3EEB44F3" w14:textId="77777777" w:rsidR="00F0330D" w:rsidRPr="00100C98" w:rsidRDefault="00F0330D" w:rsidP="00F72CD5">
      <w:pPr>
        <w:spacing w:after="0" w:line="276" w:lineRule="auto"/>
        <w:jc w:val="both"/>
        <w:rPr>
          <w:rFonts w:ascii="Open Sans" w:hAnsi="Open Sans" w:cs="Open Sans"/>
          <w:color w:val="000000"/>
          <w:shd w:val="clear" w:color="auto" w:fill="FFFFFF"/>
        </w:rPr>
      </w:pPr>
    </w:p>
    <w:p w14:paraId="5BFF4511" w14:textId="5945A948" w:rsidR="00C972B0" w:rsidRPr="00100C98" w:rsidRDefault="005605DB" w:rsidP="00F72CD5">
      <w:pPr>
        <w:spacing w:after="0" w:line="276" w:lineRule="auto"/>
        <w:jc w:val="both"/>
        <w:rPr>
          <w:rFonts w:ascii="Open Sans" w:hAnsi="Open Sans" w:cs="Open Sans"/>
          <w:color w:val="000000"/>
          <w:shd w:val="clear" w:color="auto" w:fill="FFFFFF"/>
        </w:rPr>
      </w:pPr>
      <w:r w:rsidRPr="00100C98">
        <w:rPr>
          <w:rFonts w:ascii="Open Sans" w:hAnsi="Open Sans" w:cs="Open Sans"/>
          <w:color w:val="000000"/>
          <w:shd w:val="clear" w:color="auto" w:fill="FFFFFF"/>
        </w:rPr>
        <w:t>Wyliczeni</w:t>
      </w:r>
      <w:r w:rsidR="00F0330D" w:rsidRPr="00100C98">
        <w:rPr>
          <w:rFonts w:ascii="Open Sans" w:hAnsi="Open Sans" w:cs="Open Sans"/>
          <w:color w:val="000000"/>
          <w:shd w:val="clear" w:color="auto" w:fill="FFFFFF"/>
        </w:rPr>
        <w:t>a</w:t>
      </w:r>
      <w:r w:rsidRPr="00100C98">
        <w:rPr>
          <w:rFonts w:ascii="Open Sans" w:hAnsi="Open Sans" w:cs="Open Sans"/>
          <w:color w:val="000000"/>
          <w:shd w:val="clear" w:color="auto" w:fill="FFFFFF"/>
        </w:rPr>
        <w:t xml:space="preserve"> „luki w finansowaniu” </w:t>
      </w:r>
      <w:r w:rsidR="00F0330D" w:rsidRPr="00100C98">
        <w:rPr>
          <w:rFonts w:ascii="Open Sans" w:hAnsi="Open Sans" w:cs="Open Sans"/>
          <w:color w:val="000000"/>
          <w:shd w:val="clear" w:color="auto" w:fill="FFFFFF"/>
        </w:rPr>
        <w:t>należy dokonać w załączniku „model finansowy” zgodnie z założeniami przedstawionymi w instrukcji sporządzania Studium Wykonalności.</w:t>
      </w:r>
    </w:p>
    <w:p w14:paraId="607C09F8" w14:textId="64CFAF89" w:rsidR="00F505F8" w:rsidRPr="00100C98" w:rsidRDefault="00F505F8" w:rsidP="00F72CD5">
      <w:pPr>
        <w:spacing w:after="0" w:line="276" w:lineRule="auto"/>
        <w:jc w:val="both"/>
        <w:rPr>
          <w:rFonts w:ascii="Open Sans" w:hAnsi="Open Sans" w:cs="Open Sans"/>
          <w:color w:val="000000"/>
          <w:shd w:val="clear" w:color="auto" w:fill="FFFFFF"/>
        </w:rPr>
      </w:pPr>
      <w:r w:rsidRPr="00100C98">
        <w:rPr>
          <w:rFonts w:ascii="Open Sans" w:hAnsi="Open Sans" w:cs="Open Sans"/>
          <w:color w:val="000000"/>
          <w:shd w:val="clear" w:color="auto" w:fill="FFFFFF"/>
        </w:rPr>
        <w:t>Wyliczenia stopy WACC należy dokonać w załączniku „Kalkulator WACC” zgodnie z instrukcją tam zawartą.</w:t>
      </w:r>
    </w:p>
    <w:p w14:paraId="31F38D36" w14:textId="77777777" w:rsidR="00824654" w:rsidRPr="00100C98" w:rsidRDefault="00824654" w:rsidP="00262725">
      <w:pPr>
        <w:spacing w:after="0" w:line="276" w:lineRule="auto"/>
        <w:rPr>
          <w:rFonts w:ascii="Open Sans" w:hAnsi="Open Sans" w:cs="Open Sans"/>
        </w:rPr>
      </w:pPr>
    </w:p>
    <w:p w14:paraId="1416E06E" w14:textId="291132B4" w:rsidR="00FB307F" w:rsidRPr="00100C98" w:rsidRDefault="006E73DA" w:rsidP="00A25109">
      <w:pPr>
        <w:spacing w:after="0" w:line="276" w:lineRule="auto"/>
        <w:jc w:val="both"/>
        <w:rPr>
          <w:rFonts w:ascii="Open Sans" w:hAnsi="Open Sans" w:cs="Open Sans"/>
          <w:color w:val="000000"/>
          <w:shd w:val="clear" w:color="auto" w:fill="FFFFFF"/>
        </w:rPr>
      </w:pPr>
      <w:r w:rsidRPr="00100C98">
        <w:rPr>
          <w:rFonts w:ascii="Open Sans" w:hAnsi="Open Sans" w:cs="Open Sans"/>
          <w:color w:val="000000"/>
          <w:shd w:val="clear" w:color="auto" w:fill="FFFFFF"/>
        </w:rPr>
        <w:t>Wyliczona l</w:t>
      </w:r>
      <w:r w:rsidR="00DB0BD0" w:rsidRPr="00100C98">
        <w:rPr>
          <w:rFonts w:ascii="Open Sans" w:hAnsi="Open Sans" w:cs="Open Sans"/>
          <w:color w:val="000000"/>
          <w:shd w:val="clear" w:color="auto" w:fill="FFFFFF"/>
        </w:rPr>
        <w:t xml:space="preserve">uka w finansowaniu odpowiada maksymalnej </w:t>
      </w:r>
      <w:r w:rsidR="00A25109" w:rsidRPr="00100C98">
        <w:rPr>
          <w:rFonts w:ascii="Open Sans" w:hAnsi="Open Sans" w:cs="Open Sans"/>
          <w:color w:val="000000"/>
          <w:shd w:val="clear" w:color="auto" w:fill="FFFFFF"/>
        </w:rPr>
        <w:t xml:space="preserve">dopuszczalnej </w:t>
      </w:r>
      <w:r w:rsidR="00DB0BD0" w:rsidRPr="00100C98">
        <w:rPr>
          <w:rFonts w:ascii="Open Sans" w:hAnsi="Open Sans" w:cs="Open Sans"/>
          <w:color w:val="000000"/>
          <w:shd w:val="clear" w:color="auto" w:fill="FFFFFF"/>
        </w:rPr>
        <w:t xml:space="preserve">wartości pomocy publicznej na koszty </w:t>
      </w:r>
      <w:r w:rsidR="000516FB" w:rsidRPr="00100C98">
        <w:rPr>
          <w:rFonts w:ascii="Open Sans" w:hAnsi="Open Sans" w:cs="Open Sans"/>
          <w:color w:val="000000"/>
          <w:shd w:val="clear" w:color="auto" w:fill="FFFFFF"/>
        </w:rPr>
        <w:t xml:space="preserve"> kwalifikowane </w:t>
      </w:r>
      <w:r w:rsidR="00A25109" w:rsidRPr="00100C98">
        <w:rPr>
          <w:rFonts w:ascii="Open Sans" w:hAnsi="Open Sans" w:cs="Open Sans"/>
          <w:color w:val="000000"/>
          <w:shd w:val="clear" w:color="auto" w:fill="FFFFFF"/>
        </w:rPr>
        <w:t>odnoszące się do zakresu przedsięwzięcia dotyczącego sieci ciepłowniczych</w:t>
      </w:r>
      <w:r w:rsidR="00DB0BD0" w:rsidRPr="00100C98">
        <w:rPr>
          <w:rFonts w:ascii="Open Sans" w:hAnsi="Open Sans" w:cs="Open Sans"/>
          <w:color w:val="000000"/>
          <w:shd w:val="clear" w:color="auto" w:fill="FFFFFF"/>
        </w:rPr>
        <w:t xml:space="preserve">. </w:t>
      </w:r>
    </w:p>
    <w:p w14:paraId="459D9564" w14:textId="7FBB9C3F" w:rsidR="002A7135" w:rsidRPr="00100C98" w:rsidRDefault="002A7135" w:rsidP="00A25109">
      <w:pPr>
        <w:spacing w:after="0" w:line="276" w:lineRule="auto"/>
        <w:jc w:val="both"/>
        <w:rPr>
          <w:rFonts w:ascii="Open Sans" w:hAnsi="Open Sans" w:cs="Open Sans"/>
          <w:color w:val="000000"/>
          <w:shd w:val="clear" w:color="auto" w:fill="FFFFFF"/>
        </w:rPr>
      </w:pPr>
    </w:p>
    <w:p w14:paraId="5B661A9D" w14:textId="6FC8AC1D" w:rsidR="002A7135" w:rsidRPr="00100C98" w:rsidRDefault="002A7135" w:rsidP="00A25109">
      <w:pPr>
        <w:spacing w:after="0" w:line="276" w:lineRule="auto"/>
        <w:jc w:val="both"/>
        <w:rPr>
          <w:rFonts w:ascii="Open Sans" w:hAnsi="Open Sans" w:cs="Open Sans"/>
          <w:color w:val="000000"/>
          <w:shd w:val="clear" w:color="auto" w:fill="FFFFFF"/>
        </w:rPr>
      </w:pPr>
      <w:r w:rsidRPr="00100C98">
        <w:rPr>
          <w:rFonts w:ascii="Open Sans" w:hAnsi="Open Sans" w:cs="Open Sans"/>
          <w:color w:val="000000"/>
          <w:shd w:val="clear" w:color="auto" w:fill="FFFFFF"/>
        </w:rPr>
        <w:t>(b)</w:t>
      </w:r>
    </w:p>
    <w:p w14:paraId="731AD92B" w14:textId="0EAD855D" w:rsidR="009664C5" w:rsidRPr="00100C98" w:rsidRDefault="002A7135" w:rsidP="00635908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Dopuszczaln</w:t>
      </w:r>
      <w:r w:rsidR="00635908" w:rsidRPr="00100C98">
        <w:rPr>
          <w:rFonts w:ascii="Open Sans" w:hAnsi="Open Sans" w:cs="Open Sans"/>
        </w:rPr>
        <w:t>a</w:t>
      </w:r>
      <w:r w:rsidRPr="00100C98">
        <w:rPr>
          <w:rFonts w:ascii="Open Sans" w:hAnsi="Open Sans" w:cs="Open Sans"/>
        </w:rPr>
        <w:t xml:space="preserve"> wartość pomocy publicznej na koszty </w:t>
      </w:r>
      <w:r w:rsidR="006C4A3A" w:rsidRPr="00100C98">
        <w:rPr>
          <w:rFonts w:ascii="Open Sans" w:hAnsi="Open Sans" w:cs="Open Sans"/>
        </w:rPr>
        <w:t xml:space="preserve">kwalifikowane </w:t>
      </w:r>
      <w:r w:rsidRPr="00100C98">
        <w:rPr>
          <w:rFonts w:ascii="Open Sans" w:hAnsi="Open Sans" w:cs="Open Sans"/>
        </w:rPr>
        <w:t xml:space="preserve">magazynu ciepła </w:t>
      </w:r>
      <w:r w:rsidR="00635908" w:rsidRPr="00100C98">
        <w:rPr>
          <w:rFonts w:ascii="Open Sans" w:hAnsi="Open Sans" w:cs="Open Sans"/>
        </w:rPr>
        <w:t>obliczana jest w załączniku „Kalkulator pomocy publicznej”, przy</w:t>
      </w:r>
      <w:r w:rsidRPr="00100C98">
        <w:rPr>
          <w:rFonts w:ascii="Open Sans" w:hAnsi="Open Sans" w:cs="Open Sans"/>
        </w:rPr>
        <w:t xml:space="preserve"> </w:t>
      </w:r>
      <w:r w:rsidR="00635908" w:rsidRPr="00100C98">
        <w:rPr>
          <w:rFonts w:ascii="Open Sans" w:hAnsi="Open Sans" w:cs="Open Sans"/>
        </w:rPr>
        <w:t>za</w:t>
      </w:r>
      <w:r w:rsidRPr="00100C98">
        <w:rPr>
          <w:rFonts w:ascii="Open Sans" w:hAnsi="Open Sans" w:cs="Open Sans"/>
        </w:rPr>
        <w:t>stos</w:t>
      </w:r>
      <w:r w:rsidR="00635908" w:rsidRPr="00100C98">
        <w:rPr>
          <w:rFonts w:ascii="Open Sans" w:hAnsi="Open Sans" w:cs="Open Sans"/>
        </w:rPr>
        <w:t>owaniu przepisów</w:t>
      </w:r>
      <w:r w:rsidRPr="00100C98">
        <w:rPr>
          <w:rFonts w:ascii="Open Sans" w:hAnsi="Open Sans" w:cs="Open Sans"/>
        </w:rPr>
        <w:t xml:space="preserve"> § 14 </w:t>
      </w:r>
      <w:r w:rsidR="00AD0B19" w:rsidRPr="00100C98">
        <w:rPr>
          <w:rFonts w:ascii="Open Sans" w:hAnsi="Open Sans" w:cs="Open Sans"/>
        </w:rPr>
        <w:t xml:space="preserve">ust. 4 i 5 </w:t>
      </w:r>
      <w:r w:rsidR="00635908" w:rsidRPr="00100C98">
        <w:rPr>
          <w:rFonts w:ascii="Open Sans" w:hAnsi="Open Sans" w:cs="Open Sans"/>
        </w:rPr>
        <w:t>rozporządzenia Ministra Klimatu i Środowiska  z dnia 22 listopada 2023 r. w sprawie udzielania pomocy publicznej w obszarze energetyki i środowiska w ramach programu „Fundusze Europejskie na Infrastrukturę, Klimat, Środowisko 2021–2027.</w:t>
      </w:r>
    </w:p>
    <w:p w14:paraId="41327217" w14:textId="77777777" w:rsidR="006C4A3A" w:rsidRPr="00100C98" w:rsidRDefault="006C4A3A" w:rsidP="00635908">
      <w:pPr>
        <w:spacing w:after="0" w:line="276" w:lineRule="auto"/>
        <w:jc w:val="both"/>
        <w:rPr>
          <w:rFonts w:ascii="Open Sans" w:hAnsi="Open Sans" w:cs="Open Sans"/>
          <w:color w:val="000000"/>
          <w:shd w:val="clear" w:color="auto" w:fill="FFFFFF"/>
        </w:rPr>
      </w:pPr>
    </w:p>
    <w:p w14:paraId="564BF055" w14:textId="5F634224" w:rsidR="002A7135" w:rsidRPr="00100C98" w:rsidRDefault="006C4A3A" w:rsidP="00262725">
      <w:pPr>
        <w:spacing w:after="0" w:line="276" w:lineRule="auto"/>
        <w:rPr>
          <w:rFonts w:ascii="Open Sans" w:hAnsi="Open Sans" w:cs="Open Sans"/>
          <w:color w:val="000000"/>
          <w:shd w:val="clear" w:color="auto" w:fill="FFFFFF"/>
        </w:rPr>
      </w:pPr>
      <w:r w:rsidRPr="00100C98">
        <w:rPr>
          <w:rFonts w:ascii="Open Sans" w:hAnsi="Open Sans" w:cs="Open Sans"/>
          <w:color w:val="000000"/>
          <w:shd w:val="clear" w:color="auto" w:fill="FFFFFF"/>
        </w:rPr>
        <w:t>(c)</w:t>
      </w:r>
    </w:p>
    <w:p w14:paraId="7DED4307" w14:textId="5BEAD0DF" w:rsidR="006C4A3A" w:rsidRPr="00100C98" w:rsidRDefault="006C4A3A" w:rsidP="006C4A3A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Dopuszczalna </w:t>
      </w:r>
      <w:r w:rsidRPr="00100C98">
        <w:rPr>
          <w:rFonts w:ascii="Open Sans" w:hAnsi="Open Sans" w:cs="Open Sans"/>
          <w:color w:val="000000"/>
          <w:shd w:val="clear" w:color="auto" w:fill="FFFFFF"/>
        </w:rPr>
        <w:t xml:space="preserve">wartość pomocy publicznej na koszty kwalifikowane </w:t>
      </w:r>
      <w:r w:rsidR="00222FFA" w:rsidRPr="00100C98">
        <w:rPr>
          <w:rFonts w:ascii="Open Sans" w:hAnsi="Open Sans" w:cs="Open Sans"/>
          <w:color w:val="000000"/>
          <w:shd w:val="clear" w:color="auto" w:fill="FFFFFF"/>
        </w:rPr>
        <w:t>instalacji wytwórczych</w:t>
      </w:r>
      <w:r w:rsidR="00222FFA" w:rsidRPr="00100C98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Pr="00100C98">
        <w:rPr>
          <w:rFonts w:ascii="Open Sans" w:hAnsi="Open Sans" w:cs="Open Sans"/>
          <w:color w:val="000000"/>
          <w:shd w:val="clear" w:color="auto" w:fill="FFFFFF"/>
        </w:rPr>
        <w:t xml:space="preserve">OZE zasilających węzły hybrydowe </w:t>
      </w:r>
      <w:r w:rsidRPr="00100C98">
        <w:rPr>
          <w:rFonts w:ascii="Open Sans" w:hAnsi="Open Sans" w:cs="Open Sans"/>
        </w:rPr>
        <w:t xml:space="preserve">obliczana jest w załączniku „Kalkulator pomocy publicznej”, przy zastosowaniu przepisów § 14 </w:t>
      </w:r>
      <w:r w:rsidR="00AD0B19" w:rsidRPr="00100C98">
        <w:rPr>
          <w:rFonts w:ascii="Open Sans" w:hAnsi="Open Sans" w:cs="Open Sans"/>
        </w:rPr>
        <w:t xml:space="preserve">ust. 4 i 5 </w:t>
      </w:r>
      <w:r w:rsidRPr="00100C98">
        <w:rPr>
          <w:rFonts w:ascii="Open Sans" w:hAnsi="Open Sans" w:cs="Open Sans"/>
        </w:rPr>
        <w:t xml:space="preserve">rozporządzenia Ministra Klimatu i Środowiska  z dnia 22 listopada 2023 r. w sprawie udzielania pomocy publicznej w obszarze energetyki i </w:t>
      </w:r>
      <w:r w:rsidRPr="00100C98">
        <w:rPr>
          <w:rFonts w:ascii="Open Sans" w:hAnsi="Open Sans" w:cs="Open Sans"/>
        </w:rPr>
        <w:lastRenderedPageBreak/>
        <w:t>środowiska w ramach programu „Fundusze Europejskie na Infrastrukturę, Klimat, Środowisko 2021–2027.</w:t>
      </w:r>
    </w:p>
    <w:p w14:paraId="745BE329" w14:textId="77777777" w:rsidR="006C4A3A" w:rsidRPr="00100C98" w:rsidRDefault="006C4A3A" w:rsidP="006C4A3A">
      <w:pPr>
        <w:spacing w:after="0" w:line="276" w:lineRule="auto"/>
        <w:jc w:val="both"/>
        <w:rPr>
          <w:rFonts w:ascii="Open Sans" w:hAnsi="Open Sans" w:cs="Open Sans"/>
          <w:color w:val="000000"/>
          <w:shd w:val="clear" w:color="auto" w:fill="FFFFFF"/>
        </w:rPr>
      </w:pPr>
    </w:p>
    <w:p w14:paraId="511A176D" w14:textId="46E9E3EA" w:rsidR="006C4A3A" w:rsidRPr="00100C98" w:rsidRDefault="006C4A3A" w:rsidP="00262725">
      <w:pPr>
        <w:spacing w:after="0" w:line="276" w:lineRule="auto"/>
        <w:rPr>
          <w:rFonts w:ascii="Open Sans" w:hAnsi="Open Sans" w:cs="Open Sans"/>
          <w:color w:val="000000"/>
          <w:shd w:val="clear" w:color="auto" w:fill="FFFFFF"/>
        </w:rPr>
      </w:pPr>
      <w:r w:rsidRPr="00100C98">
        <w:rPr>
          <w:rFonts w:ascii="Open Sans" w:hAnsi="Open Sans" w:cs="Open Sans"/>
          <w:color w:val="000000"/>
          <w:shd w:val="clear" w:color="auto" w:fill="FFFFFF"/>
        </w:rPr>
        <w:t>(d)</w:t>
      </w:r>
    </w:p>
    <w:p w14:paraId="15D96419" w14:textId="754052AD" w:rsidR="006C4A3A" w:rsidRPr="00100C98" w:rsidRDefault="006C4A3A" w:rsidP="00087320">
      <w:pPr>
        <w:spacing w:after="0" w:line="276" w:lineRule="auto"/>
        <w:jc w:val="both"/>
        <w:rPr>
          <w:rFonts w:ascii="Open Sans" w:hAnsi="Open Sans" w:cs="Open Sans"/>
          <w:color w:val="000000"/>
          <w:shd w:val="clear" w:color="auto" w:fill="FFFFFF"/>
        </w:rPr>
      </w:pPr>
      <w:r w:rsidRPr="00100C98">
        <w:rPr>
          <w:rFonts w:ascii="Open Sans" w:hAnsi="Open Sans" w:cs="Open Sans"/>
          <w:color w:val="000000"/>
          <w:shd w:val="clear" w:color="auto" w:fill="FFFFFF"/>
        </w:rPr>
        <w:t xml:space="preserve">Ustalenie </w:t>
      </w:r>
      <w:r w:rsidR="00525EE4" w:rsidRPr="00100C98">
        <w:rPr>
          <w:rFonts w:ascii="Open Sans" w:hAnsi="Open Sans" w:cs="Open Sans"/>
          <w:color w:val="000000"/>
          <w:shd w:val="clear" w:color="auto" w:fill="FFFFFF"/>
        </w:rPr>
        <w:t>maksymalnej</w:t>
      </w:r>
      <w:r w:rsidR="00525EE4" w:rsidRPr="00100C98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Pr="00100C98">
        <w:rPr>
          <w:rFonts w:ascii="Open Sans" w:hAnsi="Open Sans" w:cs="Open Sans"/>
          <w:color w:val="000000"/>
          <w:shd w:val="clear" w:color="auto" w:fill="FFFFFF"/>
        </w:rPr>
        <w:t>kwoty pomocy de minimis przypadającej na koszty działań edukacyjnych odbywa się w załączniku „Kalkulator pomocy publicznej” przy zastosowaniu zasad rozporządzenia Komisji (UE) 2023/2831 z dnia 13 grudnia 2023 r. w sprawie stosowania art. 107 i 108 Traktatu o funkcjonowaniu Unii Europejskiej do pomocy de minimis.</w:t>
      </w:r>
    </w:p>
    <w:p w14:paraId="35DB1D9D" w14:textId="4DA5153F" w:rsidR="00346BEF" w:rsidRPr="00100C98" w:rsidRDefault="00972035" w:rsidP="00087320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Maksymalna kwota pomocy de minimis</w:t>
      </w:r>
      <w:r w:rsidR="00824654" w:rsidRPr="00100C98">
        <w:rPr>
          <w:rFonts w:ascii="Open Sans" w:hAnsi="Open Sans" w:cs="Open Sans"/>
        </w:rPr>
        <w:t xml:space="preserve"> </w:t>
      </w:r>
      <w:r w:rsidR="00087320" w:rsidRPr="00100C98">
        <w:rPr>
          <w:rFonts w:ascii="Open Sans" w:hAnsi="Open Sans" w:cs="Open Sans"/>
        </w:rPr>
        <w:t xml:space="preserve">wynosi równowartość </w:t>
      </w:r>
      <w:r w:rsidR="00E97913" w:rsidRPr="00100C98">
        <w:rPr>
          <w:rFonts w:ascii="Open Sans" w:hAnsi="Open Sans" w:cs="Open Sans"/>
        </w:rPr>
        <w:t>3</w:t>
      </w:r>
      <w:r w:rsidR="00087320" w:rsidRPr="00100C98">
        <w:rPr>
          <w:rFonts w:ascii="Open Sans" w:hAnsi="Open Sans" w:cs="Open Sans"/>
        </w:rPr>
        <w:t>00 000</w:t>
      </w:r>
      <w:r w:rsidRPr="00100C98">
        <w:rPr>
          <w:rFonts w:ascii="Open Sans" w:hAnsi="Open Sans" w:cs="Open Sans"/>
        </w:rPr>
        <w:t xml:space="preserve"> </w:t>
      </w:r>
      <w:r w:rsidR="00824654" w:rsidRPr="00100C98">
        <w:rPr>
          <w:rFonts w:ascii="Open Sans" w:hAnsi="Open Sans" w:cs="Open Sans"/>
        </w:rPr>
        <w:t xml:space="preserve">euro dla „jednego przedsiębiorstwa” na 3 lata. </w:t>
      </w:r>
    </w:p>
    <w:p w14:paraId="320BF1F8" w14:textId="77777777" w:rsidR="00824654" w:rsidRPr="00100C98" w:rsidRDefault="00824654" w:rsidP="00087320">
      <w:pPr>
        <w:spacing w:after="0" w:line="276" w:lineRule="auto"/>
        <w:ind w:left="567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"Jedno przedsiębiorstwo" obejmuje wszystkie jednostki gospodarcze, które są ze sobą powiązane co najmniej jednym z następujących stosunków:</w:t>
      </w:r>
    </w:p>
    <w:p w14:paraId="0F4E7A15" w14:textId="77777777" w:rsidR="00824654" w:rsidRPr="00100C98" w:rsidRDefault="00824654" w:rsidP="00087320">
      <w:pPr>
        <w:spacing w:after="0" w:line="276" w:lineRule="auto"/>
        <w:ind w:left="567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a) jedna jednostka gospodarcza posiada w drugiej jednostce gospodarczej większość praw głosu akcjonariuszy, wspólników lub członków;</w:t>
      </w:r>
    </w:p>
    <w:p w14:paraId="50AE39F1" w14:textId="77777777" w:rsidR="00824654" w:rsidRPr="00100C98" w:rsidRDefault="00824654" w:rsidP="00087320">
      <w:pPr>
        <w:spacing w:after="0" w:line="276" w:lineRule="auto"/>
        <w:ind w:left="567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b) jedna jednostka gospodarcza ma prawo wyznaczyć lub odwołać większość członków organu administracyjnego, zarządzającego lub nadzorczego innej jednostki gospodarczej;</w:t>
      </w:r>
    </w:p>
    <w:p w14:paraId="46F1A2E0" w14:textId="77777777" w:rsidR="00824654" w:rsidRPr="00100C98" w:rsidRDefault="00824654" w:rsidP="00087320">
      <w:pPr>
        <w:spacing w:after="0" w:line="276" w:lineRule="auto"/>
        <w:ind w:left="567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c) jedna jednostka gospodarcza ma prawo wywierać dominujący wpływ na inną jednostkę gospodarczą zgodnie z umową zawartą z tą jednostką lub postanowieniami w jej akcie założycielskim lub umowie spółki;</w:t>
      </w:r>
    </w:p>
    <w:p w14:paraId="3F023A6D" w14:textId="77777777" w:rsidR="00824654" w:rsidRPr="00100C98" w:rsidRDefault="00824654" w:rsidP="00087320">
      <w:pPr>
        <w:spacing w:after="0" w:line="276" w:lineRule="auto"/>
        <w:ind w:left="567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</w:t>
      </w:r>
    </w:p>
    <w:p w14:paraId="53883346" w14:textId="77777777" w:rsidR="00824654" w:rsidRPr="00100C98" w:rsidRDefault="00824654" w:rsidP="00087320">
      <w:pPr>
        <w:spacing w:after="0" w:line="276" w:lineRule="auto"/>
        <w:ind w:left="567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 </w:t>
      </w:r>
    </w:p>
    <w:p w14:paraId="2B23EFCE" w14:textId="77777777" w:rsidR="00824654" w:rsidRPr="00100C98" w:rsidRDefault="00824654" w:rsidP="00087320">
      <w:pPr>
        <w:spacing w:after="0" w:line="276" w:lineRule="auto"/>
        <w:ind w:left="567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Jednostki gospodarcze pozostające w jakimkolwiek ze stosunków, o których mowa powyżej w lit. a)–d), za pośrednictwem jednej innej jednostki gospodarczej lub kilku innych jednostek gospodarczych również są uznawane za jedno przedsiębiorstwo.</w:t>
      </w:r>
    </w:p>
    <w:p w14:paraId="1CB3707A" w14:textId="77777777" w:rsidR="00824654" w:rsidRPr="00100C98" w:rsidRDefault="00824654" w:rsidP="00087320">
      <w:pPr>
        <w:spacing w:after="0" w:line="276" w:lineRule="auto"/>
        <w:ind w:left="567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 </w:t>
      </w:r>
    </w:p>
    <w:p w14:paraId="2AEECC77" w14:textId="3BC68507" w:rsidR="00824654" w:rsidRPr="00100C98" w:rsidRDefault="00824654" w:rsidP="00087320">
      <w:pPr>
        <w:spacing w:after="0" w:line="276" w:lineRule="auto"/>
        <w:ind w:left="567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Jednostki gospodarcze, które są ze sobą powiązane wyłącznie dlatego, że każda z nich jest bezpośrednio związana z danym organem publicznym lub danymi organami publicznymi, nie będą traktowane jako wzajemnie powiązane.</w:t>
      </w:r>
    </w:p>
    <w:p w14:paraId="49EA386E" w14:textId="19804D51" w:rsidR="00087320" w:rsidRPr="00100C98" w:rsidRDefault="00087320" w:rsidP="00087320">
      <w:pPr>
        <w:spacing w:after="0" w:line="276" w:lineRule="auto"/>
        <w:ind w:left="567"/>
        <w:jc w:val="both"/>
        <w:rPr>
          <w:rFonts w:ascii="Open Sans" w:hAnsi="Open Sans" w:cs="Open Sans"/>
        </w:rPr>
      </w:pPr>
    </w:p>
    <w:p w14:paraId="4DC0C687" w14:textId="77777777" w:rsidR="00087320" w:rsidRPr="00100C98" w:rsidRDefault="00087320" w:rsidP="00087320">
      <w:pPr>
        <w:spacing w:after="0" w:line="276" w:lineRule="auto"/>
        <w:ind w:left="567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Przedsiębiorstwem jest każda jednostka, czy to osoba fizyczna czy osoba prawna, wykonująca działalność gospodarczą niezależnie od jej formy prawnej i sposobu finansowania. Trybunał Sprawiedliwości Unii Europejskiej wyjaśnił, że „podmiot, który, posiadając udziały kontrolne w spółce, skutecznie wykonuje tę kontrolę poprzez </w:t>
      </w:r>
      <w:r w:rsidRPr="00100C98">
        <w:rPr>
          <w:rFonts w:ascii="Open Sans" w:hAnsi="Open Sans" w:cs="Open Sans"/>
        </w:rPr>
        <w:lastRenderedPageBreak/>
        <w:t>bezpośrednie lub pośrednie wywieranie wpływu na zarządzanie nią”, należy uznać za uczestniczący w działalności gospodarczej tej spółki. W związku z tym sam podmiot należy uznać za przedsiębiorstwo w rozumieniu art. 107 ust. 1 Traktatu. Wszystkie zatem podmioty, które są kontrolowane (prawnie lub de facto) przez ten sam podmiot, należy traktować jako jedno przedsiębiorstwo.</w:t>
      </w:r>
    </w:p>
    <w:p w14:paraId="6A22DD9C" w14:textId="778CFF6F" w:rsidR="00087320" w:rsidRPr="00100C98" w:rsidRDefault="00087320" w:rsidP="00087320">
      <w:pPr>
        <w:spacing w:after="0" w:line="276" w:lineRule="auto"/>
        <w:ind w:left="567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Pomoc de minimis w grupie podmiotów tworzących "jedno przedsiębiorstwo" sumuje się zasadniczo w obrębie jednego Państwa Członkowskiego i bierze się pod uwagę powiązania, które można zidentyfikować w danym Państwie.</w:t>
      </w:r>
    </w:p>
    <w:p w14:paraId="2626CA66" w14:textId="77777777" w:rsidR="00824654" w:rsidRPr="00100C98" w:rsidRDefault="00824654" w:rsidP="00262725">
      <w:pPr>
        <w:spacing w:after="0" w:line="276" w:lineRule="auto"/>
        <w:rPr>
          <w:rFonts w:ascii="Open Sans" w:hAnsi="Open Sans" w:cs="Open Sans"/>
          <w:color w:val="FF0000"/>
        </w:rPr>
      </w:pPr>
    </w:p>
    <w:p w14:paraId="392F6460" w14:textId="349E0A77" w:rsidR="00824654" w:rsidRPr="00100C98" w:rsidRDefault="00824654" w:rsidP="00087320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Aby obliczyć maksymalną kwotę pomocy de minimis nal</w:t>
      </w:r>
      <w:r w:rsidR="00B72814" w:rsidRPr="00100C98">
        <w:rPr>
          <w:rFonts w:ascii="Open Sans" w:hAnsi="Open Sans" w:cs="Open Sans"/>
        </w:rPr>
        <w:t>eży od limitu pomocy de minimis</w:t>
      </w:r>
      <w:r w:rsidR="000777B7" w:rsidRPr="00100C98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 xml:space="preserve">odjąć wartość pomocy de minimis otrzymanej </w:t>
      </w:r>
      <w:r w:rsidR="00087320" w:rsidRPr="00100C98">
        <w:rPr>
          <w:rFonts w:ascii="Open Sans" w:hAnsi="Open Sans" w:cs="Open Sans"/>
        </w:rPr>
        <w:t xml:space="preserve">w okresie 3 ostatnich lat (rozumianych jako lata kroczące, tj. okres 3 x 365 dni wstecz) </w:t>
      </w:r>
      <w:r w:rsidRPr="00100C98">
        <w:rPr>
          <w:rFonts w:ascii="Open Sans" w:hAnsi="Open Sans" w:cs="Open Sans"/>
        </w:rPr>
        <w:t xml:space="preserve">przez Wnioskodawcę oraz podmioty </w:t>
      </w:r>
      <w:r w:rsidR="00087320" w:rsidRPr="00100C98">
        <w:rPr>
          <w:rFonts w:ascii="Open Sans" w:hAnsi="Open Sans" w:cs="Open Sans"/>
        </w:rPr>
        <w:t>tworzące z nim „jedno przedsiębiorstwo”</w:t>
      </w:r>
      <w:r w:rsidRPr="00100C98">
        <w:rPr>
          <w:rFonts w:ascii="Open Sans" w:hAnsi="Open Sans" w:cs="Open Sans"/>
        </w:rPr>
        <w:t>.</w:t>
      </w:r>
      <w:r w:rsidR="00087320" w:rsidRPr="00100C98">
        <w:t xml:space="preserve"> </w:t>
      </w:r>
    </w:p>
    <w:p w14:paraId="6A2A8EFD" w14:textId="77777777" w:rsidR="00824654" w:rsidRPr="00100C98" w:rsidRDefault="00824654" w:rsidP="00262725">
      <w:pPr>
        <w:spacing w:after="0" w:line="276" w:lineRule="auto"/>
        <w:rPr>
          <w:rFonts w:ascii="Open Sans" w:hAnsi="Open Sans" w:cs="Open Sans"/>
        </w:rPr>
      </w:pPr>
    </w:p>
    <w:p w14:paraId="6DE5B3D9" w14:textId="3FB0AAC3" w:rsidR="006C4A3A" w:rsidRPr="00100C98" w:rsidRDefault="006C4A3A" w:rsidP="006C4A3A">
      <w:pPr>
        <w:spacing w:after="0" w:line="276" w:lineRule="auto"/>
        <w:rPr>
          <w:rFonts w:ascii="Open Sans" w:hAnsi="Open Sans" w:cs="Open Sans"/>
          <w:color w:val="000000"/>
          <w:shd w:val="clear" w:color="auto" w:fill="FFFFFF"/>
        </w:rPr>
      </w:pPr>
      <w:r w:rsidRPr="00100C98">
        <w:rPr>
          <w:rFonts w:ascii="Open Sans" w:hAnsi="Open Sans" w:cs="Open Sans"/>
          <w:b/>
        </w:rPr>
        <w:t xml:space="preserve">KROK </w:t>
      </w:r>
      <w:r w:rsidR="00D479F6" w:rsidRPr="00100C98">
        <w:rPr>
          <w:rFonts w:ascii="Open Sans" w:hAnsi="Open Sans" w:cs="Open Sans"/>
          <w:b/>
        </w:rPr>
        <w:t xml:space="preserve">4 – Podział dotacji IF i pożyczki IF na poszczególne elementy przedsięwzięcia </w:t>
      </w:r>
    </w:p>
    <w:p w14:paraId="4B14D02D" w14:textId="53E6A67B" w:rsidR="00D479F6" w:rsidRPr="00100C98" w:rsidRDefault="00D479F6" w:rsidP="00C3114B">
      <w:pPr>
        <w:tabs>
          <w:tab w:val="left" w:pos="3828"/>
        </w:tabs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W „Kalkulatorze pomocy publicznej” (w arkuszu „koszty”) </w:t>
      </w:r>
      <w:r w:rsidRPr="00100C98">
        <w:rPr>
          <w:rFonts w:ascii="Open Sans" w:hAnsi="Open Sans" w:cs="Open Sans"/>
        </w:rPr>
        <w:t xml:space="preserve"> należy rozdzielić kwotę dotacji IF i pożyczki IF na poszczególne elementy przedsięwzięcia</w:t>
      </w:r>
      <w:r w:rsidR="008F0F3E" w:rsidRPr="00100C98">
        <w:rPr>
          <w:rFonts w:ascii="Open Sans" w:hAnsi="Open Sans" w:cs="Open Sans"/>
        </w:rPr>
        <w:t xml:space="preserve">. </w:t>
      </w:r>
      <w:r w:rsidRPr="00100C98">
        <w:rPr>
          <w:rFonts w:ascii="Open Sans" w:hAnsi="Open Sans" w:cs="Open Sans"/>
        </w:rPr>
        <w:t xml:space="preserve">Można zastosować podział proporcjonalny odpowiadający </w:t>
      </w:r>
      <w:r w:rsidR="008F0F3E" w:rsidRPr="00100C98">
        <w:rPr>
          <w:rFonts w:ascii="Open Sans" w:hAnsi="Open Sans" w:cs="Open Sans"/>
        </w:rPr>
        <w:t>u</w:t>
      </w:r>
      <w:r w:rsidRPr="00100C98">
        <w:rPr>
          <w:rFonts w:ascii="Open Sans" w:hAnsi="Open Sans" w:cs="Open Sans"/>
        </w:rPr>
        <w:t>dział</w:t>
      </w:r>
      <w:r w:rsidR="008F0F3E" w:rsidRPr="00100C98">
        <w:rPr>
          <w:rFonts w:ascii="Open Sans" w:hAnsi="Open Sans" w:cs="Open Sans"/>
        </w:rPr>
        <w:t>owi</w:t>
      </w:r>
      <w:r w:rsidRPr="00100C98">
        <w:rPr>
          <w:rFonts w:ascii="Open Sans" w:hAnsi="Open Sans" w:cs="Open Sans"/>
        </w:rPr>
        <w:t xml:space="preserve"> kosztu danego elementu w kosztach kwalifikowanych przedsięwzięcia lub inny sposób podziału. Na podstawie tego podziału </w:t>
      </w:r>
      <w:r w:rsidR="008F0F3E" w:rsidRPr="00100C98">
        <w:rPr>
          <w:rFonts w:ascii="Open Sans" w:hAnsi="Open Sans" w:cs="Open Sans"/>
        </w:rPr>
        <w:t xml:space="preserve">obliczana </w:t>
      </w:r>
      <w:r w:rsidRPr="00100C98">
        <w:rPr>
          <w:rFonts w:ascii="Open Sans" w:hAnsi="Open Sans" w:cs="Open Sans"/>
        </w:rPr>
        <w:t xml:space="preserve">jest </w:t>
      </w:r>
      <w:r w:rsidR="008F0F3E" w:rsidRPr="00100C98">
        <w:rPr>
          <w:rFonts w:ascii="Open Sans" w:hAnsi="Open Sans" w:cs="Open Sans"/>
        </w:rPr>
        <w:t xml:space="preserve">(tzn. rozdzielana w taki sam sposób) </w:t>
      </w:r>
      <w:r w:rsidRPr="00100C98">
        <w:rPr>
          <w:rFonts w:ascii="Open Sans" w:hAnsi="Open Sans" w:cs="Open Sans"/>
        </w:rPr>
        <w:t xml:space="preserve">wartość pomocy (EDB) przypadająca na dany element przedsięwzięcia. </w:t>
      </w:r>
      <w:r w:rsidR="008F0F3E" w:rsidRPr="00100C98">
        <w:rPr>
          <w:rFonts w:ascii="Open Sans" w:hAnsi="Open Sans" w:cs="Open Sans"/>
        </w:rPr>
        <w:t xml:space="preserve">Podział dotacji IF i pożyczki IF musi być dokonany w taki sposób, aby </w:t>
      </w:r>
      <w:r w:rsidR="00F40CAD" w:rsidRPr="00100C98">
        <w:rPr>
          <w:rFonts w:ascii="Open Sans" w:hAnsi="Open Sans" w:cs="Open Sans"/>
        </w:rPr>
        <w:t xml:space="preserve">dla każdego </w:t>
      </w:r>
      <w:r w:rsidR="00F40CAD" w:rsidRPr="00100C98">
        <w:rPr>
          <w:rFonts w:ascii="Open Sans" w:hAnsi="Open Sans" w:cs="Open Sans"/>
        </w:rPr>
        <w:t>element</w:t>
      </w:r>
      <w:r w:rsidR="00F40CAD" w:rsidRPr="00100C98">
        <w:rPr>
          <w:rFonts w:ascii="Open Sans" w:hAnsi="Open Sans" w:cs="Open Sans"/>
        </w:rPr>
        <w:t>u</w:t>
      </w:r>
      <w:r w:rsidR="00F40CAD" w:rsidRPr="00100C98">
        <w:rPr>
          <w:rFonts w:ascii="Open Sans" w:hAnsi="Open Sans" w:cs="Open Sans"/>
        </w:rPr>
        <w:t xml:space="preserve"> przedsięwzięcia </w:t>
      </w:r>
      <w:r w:rsidR="008F0F3E" w:rsidRPr="00100C98">
        <w:rPr>
          <w:rFonts w:ascii="Open Sans" w:hAnsi="Open Sans" w:cs="Open Sans"/>
        </w:rPr>
        <w:t>spełnione były poniższe zasady:</w:t>
      </w:r>
    </w:p>
    <w:p w14:paraId="7C1AC37E" w14:textId="709D39FA" w:rsidR="008F0F3E" w:rsidRPr="00100C98" w:rsidRDefault="00F40CAD" w:rsidP="00100C98">
      <w:pPr>
        <w:pStyle w:val="Akapitzlist"/>
        <w:numPr>
          <w:ilvl w:val="0"/>
          <w:numId w:val="15"/>
        </w:numPr>
        <w:tabs>
          <w:tab w:val="left" w:pos="3828"/>
        </w:tabs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ł</w:t>
      </w:r>
      <w:r w:rsidR="008F0F3E" w:rsidRPr="00100C98">
        <w:rPr>
          <w:rFonts w:ascii="Open Sans" w:hAnsi="Open Sans" w:cs="Open Sans"/>
        </w:rPr>
        <w:t xml:space="preserve">ączna kwota dotacji IF i pożyczki IF </w:t>
      </w:r>
      <w:r w:rsidRPr="00100C98">
        <w:rPr>
          <w:rFonts w:ascii="Open Sans" w:hAnsi="Open Sans" w:cs="Open Sans"/>
        </w:rPr>
        <w:t xml:space="preserve">na dany element przedsięwzięcia </w:t>
      </w:r>
      <w:r w:rsidR="008F0F3E" w:rsidRPr="00100C98">
        <w:rPr>
          <w:rFonts w:ascii="Open Sans" w:hAnsi="Open Sans" w:cs="Open Sans"/>
        </w:rPr>
        <w:t>nie może przekraczać kosztu kwalifikowanego danego elementu</w:t>
      </w:r>
      <w:r w:rsidRPr="00100C98">
        <w:rPr>
          <w:rFonts w:ascii="Open Sans" w:hAnsi="Open Sans" w:cs="Open Sans"/>
        </w:rPr>
        <w:t>,</w:t>
      </w:r>
    </w:p>
    <w:p w14:paraId="13086B79" w14:textId="714E6240" w:rsidR="00C64529" w:rsidRPr="00100C98" w:rsidRDefault="00F40CAD" w:rsidP="00F40CAD">
      <w:pPr>
        <w:pStyle w:val="Akapitzlist"/>
        <w:numPr>
          <w:ilvl w:val="0"/>
          <w:numId w:val="15"/>
        </w:numPr>
        <w:tabs>
          <w:tab w:val="left" w:pos="3828"/>
        </w:tabs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łączna </w:t>
      </w:r>
      <w:r w:rsidR="00D479F6" w:rsidRPr="00100C98">
        <w:rPr>
          <w:rFonts w:ascii="Open Sans" w:hAnsi="Open Sans" w:cs="Open Sans"/>
        </w:rPr>
        <w:t>wartość</w:t>
      </w:r>
      <w:r w:rsidR="005D3E46" w:rsidRPr="00100C98">
        <w:rPr>
          <w:rFonts w:ascii="Open Sans" w:hAnsi="Open Sans" w:cs="Open Sans"/>
        </w:rPr>
        <w:t xml:space="preserve"> </w:t>
      </w:r>
      <w:r w:rsidR="00C64529" w:rsidRPr="00100C98">
        <w:rPr>
          <w:rFonts w:ascii="Open Sans" w:hAnsi="Open Sans" w:cs="Open Sans"/>
        </w:rPr>
        <w:t>(EDB)</w:t>
      </w:r>
      <w:r w:rsidR="00C64529" w:rsidRPr="00100C98">
        <w:rPr>
          <w:rFonts w:ascii="Open Sans" w:hAnsi="Open Sans" w:cs="Open Sans"/>
        </w:rPr>
        <w:t xml:space="preserve"> </w:t>
      </w:r>
      <w:r w:rsidR="005D3E46" w:rsidRPr="00100C98">
        <w:rPr>
          <w:rFonts w:ascii="Open Sans" w:hAnsi="Open Sans" w:cs="Open Sans"/>
        </w:rPr>
        <w:t>pomocy</w:t>
      </w:r>
      <w:r w:rsidRPr="00100C98">
        <w:rPr>
          <w:rFonts w:ascii="Open Sans" w:hAnsi="Open Sans" w:cs="Open Sans"/>
        </w:rPr>
        <w:t xml:space="preserve">, tj. </w:t>
      </w:r>
      <w:r w:rsidR="005D3E46" w:rsidRPr="00100C98">
        <w:rPr>
          <w:rFonts w:ascii="Open Sans" w:hAnsi="Open Sans" w:cs="Open Sans"/>
        </w:rPr>
        <w:t>dotacja IF + EDB z pożyczki IF</w:t>
      </w:r>
      <w:r w:rsidR="00C64529" w:rsidRPr="00100C98">
        <w:rPr>
          <w:rFonts w:ascii="Open Sans" w:hAnsi="Open Sans" w:cs="Open Sans"/>
        </w:rPr>
        <w:t xml:space="preserve"> (</w:t>
      </w:r>
      <w:r w:rsidR="005D3E46" w:rsidRPr="00100C98">
        <w:rPr>
          <w:rFonts w:ascii="Open Sans" w:hAnsi="Open Sans" w:cs="Open Sans"/>
        </w:rPr>
        <w:t>obliczona w KROKU 1</w:t>
      </w:r>
      <w:r w:rsidR="00C64529" w:rsidRPr="00100C98">
        <w:rPr>
          <w:rFonts w:ascii="Open Sans" w:hAnsi="Open Sans" w:cs="Open Sans"/>
        </w:rPr>
        <w:t>) na dany element przedsięwzięcia,</w:t>
      </w:r>
      <w:r w:rsidR="005D3E46" w:rsidRPr="00100C98">
        <w:rPr>
          <w:rFonts w:ascii="Open Sans" w:hAnsi="Open Sans" w:cs="Open Sans"/>
        </w:rPr>
        <w:t xml:space="preserve"> nie przekracza </w:t>
      </w:r>
      <w:r w:rsidR="00C64529" w:rsidRPr="00100C98">
        <w:rPr>
          <w:rFonts w:ascii="Open Sans" w:hAnsi="Open Sans" w:cs="Open Sans"/>
        </w:rPr>
        <w:t>maksymalnej wartości</w:t>
      </w:r>
      <w:r w:rsidR="005D3E46" w:rsidRPr="00100C98">
        <w:rPr>
          <w:rFonts w:ascii="Open Sans" w:hAnsi="Open Sans" w:cs="Open Sans"/>
        </w:rPr>
        <w:t xml:space="preserve"> pomocy </w:t>
      </w:r>
      <w:r w:rsidR="00C64529" w:rsidRPr="00100C98">
        <w:rPr>
          <w:rFonts w:ascii="Open Sans" w:hAnsi="Open Sans" w:cs="Open Sans"/>
        </w:rPr>
        <w:t>na dany element (</w:t>
      </w:r>
      <w:r w:rsidR="005D3E46" w:rsidRPr="00100C98">
        <w:rPr>
          <w:rFonts w:ascii="Open Sans" w:hAnsi="Open Sans" w:cs="Open Sans"/>
        </w:rPr>
        <w:t xml:space="preserve">wyliczonej </w:t>
      </w:r>
      <w:r w:rsidR="00C64529" w:rsidRPr="00100C98">
        <w:rPr>
          <w:rFonts w:ascii="Open Sans" w:hAnsi="Open Sans" w:cs="Open Sans"/>
        </w:rPr>
        <w:t>w KROKU 2</w:t>
      </w:r>
      <w:r w:rsidR="00C64529" w:rsidRPr="00100C98">
        <w:rPr>
          <w:rFonts w:ascii="Open Sans" w:hAnsi="Open Sans" w:cs="Open Sans"/>
        </w:rPr>
        <w:t>).</w:t>
      </w:r>
    </w:p>
    <w:p w14:paraId="3923156C" w14:textId="77777777" w:rsidR="009A0386" w:rsidRPr="00100C98" w:rsidRDefault="009A0386" w:rsidP="00C3114B">
      <w:pPr>
        <w:spacing w:after="0" w:line="276" w:lineRule="auto"/>
        <w:rPr>
          <w:rFonts w:ascii="Open Sans" w:hAnsi="Open Sans" w:cs="Open Sans"/>
        </w:rPr>
      </w:pPr>
    </w:p>
    <w:p w14:paraId="06F954F3" w14:textId="7555B2F3" w:rsidR="009A0386" w:rsidRDefault="006C4A3A" w:rsidP="009A0386">
      <w:pPr>
        <w:spacing w:after="0" w:line="276" w:lineRule="auto"/>
        <w:jc w:val="both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Jeśli </w:t>
      </w:r>
      <w:r w:rsidR="009A0386" w:rsidRPr="00100C98">
        <w:rPr>
          <w:rFonts w:ascii="Open Sans" w:hAnsi="Open Sans" w:cs="Open Sans"/>
        </w:rPr>
        <w:t xml:space="preserve">dla danego </w:t>
      </w:r>
      <w:r w:rsidR="00C64529" w:rsidRPr="00100C98">
        <w:rPr>
          <w:rFonts w:ascii="Open Sans" w:hAnsi="Open Sans" w:cs="Open Sans"/>
        </w:rPr>
        <w:t>elementu</w:t>
      </w:r>
      <w:r w:rsidR="009A0386" w:rsidRPr="00100C98">
        <w:rPr>
          <w:rFonts w:ascii="Open Sans" w:hAnsi="Open Sans" w:cs="Open Sans"/>
        </w:rPr>
        <w:t xml:space="preserve"> przedsięwzięcia spełnione są powyższe </w:t>
      </w:r>
      <w:r w:rsidR="00C64529" w:rsidRPr="00100C98">
        <w:rPr>
          <w:rFonts w:ascii="Open Sans" w:hAnsi="Open Sans" w:cs="Open Sans"/>
        </w:rPr>
        <w:t>zasady</w:t>
      </w:r>
      <w:r w:rsidR="009A0386" w:rsidRPr="00100C98">
        <w:rPr>
          <w:rFonts w:ascii="Open Sans" w:hAnsi="Open Sans" w:cs="Open Sans"/>
        </w:rPr>
        <w:t xml:space="preserve">, wówczas można uznać, </w:t>
      </w:r>
      <w:r w:rsidR="00C3114B" w:rsidRPr="00100C98">
        <w:rPr>
          <w:rFonts w:ascii="Open Sans" w:hAnsi="Open Sans" w:cs="Open Sans"/>
        </w:rPr>
        <w:t xml:space="preserve">że wielkość dofinansowania </w:t>
      </w:r>
      <w:r w:rsidR="00C64529" w:rsidRPr="00100C98">
        <w:rPr>
          <w:rFonts w:ascii="Open Sans" w:hAnsi="Open Sans" w:cs="Open Sans"/>
        </w:rPr>
        <w:t xml:space="preserve">na dany element </w:t>
      </w:r>
      <w:r w:rsidR="00C3114B" w:rsidRPr="00100C98">
        <w:rPr>
          <w:rFonts w:ascii="Open Sans" w:hAnsi="Open Sans" w:cs="Open Sans"/>
        </w:rPr>
        <w:t>jest dopuszczalna.</w:t>
      </w:r>
      <w:r w:rsidR="00C3114B">
        <w:rPr>
          <w:rFonts w:ascii="Open Sans" w:hAnsi="Open Sans" w:cs="Open Sans"/>
        </w:rPr>
        <w:t xml:space="preserve"> </w:t>
      </w:r>
    </w:p>
    <w:p w14:paraId="0A9984B3" w14:textId="77777777" w:rsidR="009A0386" w:rsidRDefault="009A0386" w:rsidP="009A0386">
      <w:pPr>
        <w:spacing w:after="0" w:line="276" w:lineRule="auto"/>
        <w:jc w:val="both"/>
        <w:rPr>
          <w:rFonts w:ascii="Open Sans" w:hAnsi="Open Sans" w:cs="Open Sans"/>
        </w:rPr>
      </w:pPr>
    </w:p>
    <w:p w14:paraId="275D48F6" w14:textId="77777777" w:rsidR="006C4A3A" w:rsidRPr="00262725" w:rsidRDefault="006C4A3A" w:rsidP="006C4A3A">
      <w:pPr>
        <w:spacing w:after="0" w:line="276" w:lineRule="auto"/>
        <w:jc w:val="both"/>
        <w:rPr>
          <w:rFonts w:ascii="Open Sans" w:hAnsi="Open Sans" w:cs="Open Sans"/>
          <w:color w:val="000000"/>
          <w:shd w:val="clear" w:color="auto" w:fill="FFFFFF"/>
        </w:rPr>
      </w:pPr>
    </w:p>
    <w:p w14:paraId="1BB24B48" w14:textId="77777777" w:rsidR="006C4A3A" w:rsidRDefault="006C4A3A" w:rsidP="00262725">
      <w:pPr>
        <w:spacing w:after="0" w:line="276" w:lineRule="auto"/>
        <w:ind w:left="993" w:hanging="993"/>
        <w:rPr>
          <w:rFonts w:ascii="Open Sans" w:hAnsi="Open Sans" w:cs="Open Sans"/>
          <w:b/>
        </w:rPr>
      </w:pPr>
    </w:p>
    <w:p w14:paraId="2EFE1A75" w14:textId="77777777" w:rsidR="00532A0B" w:rsidRPr="00262725" w:rsidRDefault="00532A0B" w:rsidP="00262725">
      <w:pPr>
        <w:spacing w:after="0" w:line="276" w:lineRule="auto"/>
        <w:ind w:left="993" w:hanging="993"/>
        <w:jc w:val="both"/>
        <w:rPr>
          <w:rFonts w:ascii="Open Sans" w:hAnsi="Open Sans" w:cs="Open Sans"/>
          <w:b/>
        </w:rPr>
      </w:pPr>
    </w:p>
    <w:p w14:paraId="21CBE1C8" w14:textId="77877A25" w:rsidR="00C12AE8" w:rsidRPr="00262725" w:rsidRDefault="00C12AE8" w:rsidP="003F607B">
      <w:pPr>
        <w:spacing w:after="0" w:line="276" w:lineRule="auto"/>
        <w:rPr>
          <w:rFonts w:ascii="Open Sans" w:hAnsi="Open Sans" w:cs="Open Sans"/>
        </w:rPr>
      </w:pPr>
    </w:p>
    <w:sectPr w:rsidR="00C12AE8" w:rsidRPr="00262725" w:rsidSect="00100C98">
      <w:footerReference w:type="default" r:id="rId8"/>
      <w:headerReference w:type="first" r:id="rId9"/>
      <w:pgSz w:w="11906" w:h="16838"/>
      <w:pgMar w:top="1417" w:right="1133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A9511" w14:textId="77777777" w:rsidR="009A0386" w:rsidRDefault="009A0386" w:rsidP="005160EE">
      <w:pPr>
        <w:spacing w:after="0" w:line="240" w:lineRule="auto"/>
      </w:pPr>
      <w:r>
        <w:separator/>
      </w:r>
    </w:p>
  </w:endnote>
  <w:endnote w:type="continuationSeparator" w:id="0">
    <w:p w14:paraId="71CC49D7" w14:textId="77777777" w:rsidR="009A0386" w:rsidRDefault="009A0386" w:rsidP="00516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 Light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3999513"/>
      <w:docPartObj>
        <w:docPartGallery w:val="Page Numbers (Bottom of Page)"/>
        <w:docPartUnique/>
      </w:docPartObj>
    </w:sdtPr>
    <w:sdtEndPr/>
    <w:sdtContent>
      <w:p w14:paraId="2B895289" w14:textId="4ACDFEDD" w:rsidR="009A0386" w:rsidRDefault="009A03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98C">
          <w:rPr>
            <w:noProof/>
          </w:rPr>
          <w:t>8</w:t>
        </w:r>
        <w:r>
          <w:fldChar w:fldCharType="end"/>
        </w:r>
      </w:p>
    </w:sdtContent>
  </w:sdt>
  <w:p w14:paraId="47D6B117" w14:textId="77777777" w:rsidR="009A0386" w:rsidRDefault="009A0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A3D0C" w14:textId="77777777" w:rsidR="009A0386" w:rsidRDefault="009A0386" w:rsidP="005160EE">
      <w:pPr>
        <w:spacing w:after="0" w:line="240" w:lineRule="auto"/>
      </w:pPr>
      <w:r>
        <w:separator/>
      </w:r>
    </w:p>
  </w:footnote>
  <w:footnote w:type="continuationSeparator" w:id="0">
    <w:p w14:paraId="533B45B5" w14:textId="77777777" w:rsidR="009A0386" w:rsidRDefault="009A0386" w:rsidP="005160EE">
      <w:pPr>
        <w:spacing w:after="0" w:line="240" w:lineRule="auto"/>
      </w:pPr>
      <w:r>
        <w:continuationSeparator/>
      </w:r>
    </w:p>
  </w:footnote>
  <w:footnote w:id="1">
    <w:p w14:paraId="204E0DAF" w14:textId="0A32198D" w:rsidR="00B857D0" w:rsidRDefault="00B857D0" w:rsidP="00B857D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Wartość pomocy publicznej udzielanej w formie pożyczki jest wyrażana jako tzw. ekwiwalent dotacji brutto (EDB) i obliczana zgodnie z rozporządzeniem </w:t>
      </w:r>
      <w:r w:rsidRPr="00B857D0">
        <w:t>Rady Ministrów w sprawie szczegółowego sposobu obliczania wartości pomocy publicznej udzielanej w różnych formach</w:t>
      </w:r>
      <w:r>
        <w:t xml:space="preserve">. </w:t>
      </w:r>
    </w:p>
  </w:footnote>
  <w:footnote w:id="2">
    <w:p w14:paraId="19EAF589" w14:textId="771202D5" w:rsidR="009A0386" w:rsidRPr="00262725" w:rsidRDefault="009A0386" w:rsidP="00F72CD5">
      <w:pPr>
        <w:pStyle w:val="Tekstprzypisudolnego"/>
        <w:ind w:left="142" w:hanging="142"/>
        <w:jc w:val="both"/>
        <w:rPr>
          <w:rFonts w:ascii="Open Sans" w:hAnsi="Open Sans" w:cs="Open Sans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62725">
        <w:rPr>
          <w:rFonts w:ascii="Open Sans" w:hAnsi="Open Sans" w:cs="Open Sans"/>
          <w:sz w:val="16"/>
          <w:szCs w:val="16"/>
        </w:rPr>
        <w:t xml:space="preserve">Warunki udzielania pomocy publicznej na </w:t>
      </w:r>
      <w:r>
        <w:rPr>
          <w:rFonts w:ascii="Open Sans" w:hAnsi="Open Sans" w:cs="Open Sans"/>
          <w:sz w:val="16"/>
          <w:szCs w:val="16"/>
        </w:rPr>
        <w:t>sieci ciepłownicze</w:t>
      </w:r>
      <w:r w:rsidRPr="00262725">
        <w:rPr>
          <w:rFonts w:ascii="Open Sans" w:hAnsi="Open Sans" w:cs="Open Sans"/>
          <w:sz w:val="16"/>
          <w:szCs w:val="16"/>
        </w:rPr>
        <w:t xml:space="preserve"> są określone w rozporządzeniu Ministra Klimatu i Środowiska z dnia 22 listopada 2023 r. w sprawie udzielania pomocy publicznej na inwestycje w sieć dystrybucji w obszarze efektywnego</w:t>
      </w:r>
      <w:r>
        <w:rPr>
          <w:rFonts w:ascii="Open Sans" w:hAnsi="Open Sans" w:cs="Open Sans"/>
          <w:sz w:val="16"/>
          <w:szCs w:val="16"/>
        </w:rPr>
        <w:t xml:space="preserve"> </w:t>
      </w:r>
      <w:r w:rsidRPr="00262725">
        <w:rPr>
          <w:rFonts w:ascii="Open Sans" w:hAnsi="Open Sans" w:cs="Open Sans"/>
          <w:sz w:val="16"/>
          <w:szCs w:val="16"/>
        </w:rPr>
        <w:t>energetycznie systemu ciepłowniczego i chłodniczego w ramach programu Fundusze Europejskie na Infrastrukturę, Klimat, Środowisko 2021–2027 (Dz. U. poz. 2558).</w:t>
      </w:r>
    </w:p>
  </w:footnote>
  <w:footnote w:id="3">
    <w:p w14:paraId="7D9F0C55" w14:textId="6D623DE7" w:rsidR="009A0386" w:rsidRPr="00262725" w:rsidRDefault="009A0386" w:rsidP="00FF2F45">
      <w:pPr>
        <w:pStyle w:val="Tekstprzypisudolnego"/>
        <w:ind w:left="142" w:hanging="142"/>
        <w:rPr>
          <w:rFonts w:ascii="Open Sans" w:hAnsi="Open Sans" w:cs="Open Sans"/>
          <w:sz w:val="16"/>
          <w:szCs w:val="16"/>
        </w:rPr>
      </w:pPr>
      <w:r w:rsidRPr="00262725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62725">
        <w:rPr>
          <w:rFonts w:ascii="Open Sans" w:hAnsi="Open Sans" w:cs="Open Sans"/>
          <w:sz w:val="16"/>
          <w:szCs w:val="16"/>
        </w:rPr>
        <w:t xml:space="preserve"> Warunki udzielania pomocy publicznej na </w:t>
      </w:r>
      <w:r>
        <w:rPr>
          <w:rFonts w:ascii="Open Sans" w:hAnsi="Open Sans" w:cs="Open Sans"/>
          <w:sz w:val="16"/>
          <w:szCs w:val="16"/>
        </w:rPr>
        <w:t>magazyny ciepła</w:t>
      </w:r>
      <w:r w:rsidRPr="00262725">
        <w:rPr>
          <w:rFonts w:ascii="Open Sans" w:hAnsi="Open Sans" w:cs="Open Sans"/>
          <w:sz w:val="16"/>
          <w:szCs w:val="16"/>
        </w:rPr>
        <w:t xml:space="preserve"> są określone w rozporządzeniu Ministra Klimatu i Środowiska</w:t>
      </w:r>
      <w:r w:rsidRPr="00FF2F45">
        <w:rPr>
          <w:rFonts w:ascii="Open Sans" w:hAnsi="Open Sans" w:cs="Open Sans"/>
          <w:sz w:val="16"/>
          <w:szCs w:val="16"/>
        </w:rPr>
        <w:t xml:space="preserve"> z dnia </w:t>
      </w:r>
      <w:r>
        <w:rPr>
          <w:rFonts w:ascii="Open Sans" w:hAnsi="Open Sans" w:cs="Open Sans"/>
          <w:sz w:val="16"/>
          <w:szCs w:val="16"/>
        </w:rPr>
        <w:t xml:space="preserve">22 listopada 2023 r. w sprawie </w:t>
      </w:r>
      <w:r w:rsidRPr="00FF2F45">
        <w:rPr>
          <w:rFonts w:ascii="Open Sans" w:hAnsi="Open Sans" w:cs="Open Sans"/>
          <w:sz w:val="16"/>
          <w:szCs w:val="16"/>
        </w:rPr>
        <w:t xml:space="preserve">udzielania pomocy publicznej w obszarze energetyki </w:t>
      </w:r>
      <w:r>
        <w:rPr>
          <w:rFonts w:ascii="Open Sans" w:hAnsi="Open Sans" w:cs="Open Sans"/>
          <w:sz w:val="16"/>
          <w:szCs w:val="16"/>
        </w:rPr>
        <w:t xml:space="preserve">i środowiska w ramach programu </w:t>
      </w:r>
      <w:r w:rsidRPr="00FF2F45">
        <w:rPr>
          <w:rFonts w:ascii="Open Sans" w:hAnsi="Open Sans" w:cs="Open Sans"/>
          <w:sz w:val="16"/>
          <w:szCs w:val="16"/>
        </w:rPr>
        <w:t>„Fundusze Europejskie na Infrastrukturę, Klimat, Środowisko 2021–2027 (Dz. U. poz. 2557)</w:t>
      </w:r>
      <w:r w:rsidRPr="00262725">
        <w:rPr>
          <w:rFonts w:ascii="Open Sans" w:hAnsi="Open Sans" w:cs="Open Sans"/>
          <w:sz w:val="16"/>
          <w:szCs w:val="16"/>
        </w:rPr>
        <w:t>.</w:t>
      </w:r>
    </w:p>
  </w:footnote>
  <w:footnote w:id="4">
    <w:p w14:paraId="6BB8A601" w14:textId="479FC431" w:rsidR="009A0386" w:rsidRPr="00262725" w:rsidRDefault="009A0386" w:rsidP="00F72CD5">
      <w:pPr>
        <w:pStyle w:val="Tekstprzypisudolnego"/>
        <w:ind w:left="142" w:hanging="142"/>
        <w:jc w:val="both"/>
        <w:rPr>
          <w:rFonts w:ascii="Open Sans" w:hAnsi="Open Sans" w:cs="Open Sans"/>
          <w:sz w:val="16"/>
          <w:szCs w:val="16"/>
        </w:rPr>
      </w:pPr>
      <w:r w:rsidRPr="00262725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62725">
        <w:rPr>
          <w:rFonts w:ascii="Open Sans" w:hAnsi="Open Sans" w:cs="Open Sans"/>
          <w:sz w:val="16"/>
          <w:szCs w:val="16"/>
        </w:rPr>
        <w:t xml:space="preserve"> Warunki udzielania pomocy publicznej na </w:t>
      </w:r>
      <w:r w:rsidR="00222FFA">
        <w:rPr>
          <w:rFonts w:ascii="Open Sans" w:hAnsi="Open Sans" w:cs="Open Sans"/>
          <w:sz w:val="16"/>
          <w:szCs w:val="16"/>
        </w:rPr>
        <w:t>instalacje wytwórcze</w:t>
      </w:r>
      <w:r w:rsidRPr="00FF2F45">
        <w:rPr>
          <w:rFonts w:ascii="Open Sans" w:hAnsi="Open Sans" w:cs="Open Sans"/>
          <w:sz w:val="16"/>
          <w:szCs w:val="16"/>
        </w:rPr>
        <w:t xml:space="preserve"> OZE zasilając</w:t>
      </w:r>
      <w:r>
        <w:rPr>
          <w:rFonts w:ascii="Open Sans" w:hAnsi="Open Sans" w:cs="Open Sans"/>
          <w:sz w:val="16"/>
          <w:szCs w:val="16"/>
        </w:rPr>
        <w:t>e</w:t>
      </w:r>
      <w:r w:rsidRPr="00FF2F45">
        <w:rPr>
          <w:rFonts w:ascii="Open Sans" w:hAnsi="Open Sans" w:cs="Open Sans"/>
          <w:sz w:val="16"/>
          <w:szCs w:val="16"/>
        </w:rPr>
        <w:t xml:space="preserve"> węzły hybrydowe</w:t>
      </w:r>
      <w:r w:rsidRPr="00FF2F45" w:rsidDel="00FF2F45">
        <w:rPr>
          <w:rFonts w:ascii="Open Sans" w:hAnsi="Open Sans" w:cs="Open Sans"/>
          <w:sz w:val="16"/>
          <w:szCs w:val="16"/>
        </w:rPr>
        <w:t xml:space="preserve"> </w:t>
      </w:r>
      <w:r w:rsidRPr="00262725">
        <w:rPr>
          <w:rFonts w:ascii="Open Sans" w:hAnsi="Open Sans" w:cs="Open Sans"/>
          <w:sz w:val="16"/>
          <w:szCs w:val="16"/>
        </w:rPr>
        <w:t xml:space="preserve">są określone w rozporządzeniu Ministra Klimatu i Środowiska </w:t>
      </w:r>
      <w:r w:rsidRPr="00FF2F45">
        <w:rPr>
          <w:rFonts w:ascii="Open Sans" w:hAnsi="Open Sans" w:cs="Open Sans"/>
          <w:sz w:val="16"/>
          <w:szCs w:val="16"/>
        </w:rPr>
        <w:t xml:space="preserve">z dnia </w:t>
      </w:r>
      <w:r>
        <w:rPr>
          <w:rFonts w:ascii="Open Sans" w:hAnsi="Open Sans" w:cs="Open Sans"/>
          <w:sz w:val="16"/>
          <w:szCs w:val="16"/>
        </w:rPr>
        <w:t xml:space="preserve">22 listopada 2023 r. w sprawie </w:t>
      </w:r>
      <w:r w:rsidRPr="00FF2F45">
        <w:rPr>
          <w:rFonts w:ascii="Open Sans" w:hAnsi="Open Sans" w:cs="Open Sans"/>
          <w:sz w:val="16"/>
          <w:szCs w:val="16"/>
        </w:rPr>
        <w:t xml:space="preserve">udzielania pomocy publicznej w obszarze energetyki </w:t>
      </w:r>
      <w:r>
        <w:rPr>
          <w:rFonts w:ascii="Open Sans" w:hAnsi="Open Sans" w:cs="Open Sans"/>
          <w:sz w:val="16"/>
          <w:szCs w:val="16"/>
        </w:rPr>
        <w:t xml:space="preserve">i środowiska w ramach programu </w:t>
      </w:r>
      <w:r w:rsidRPr="00FF2F45">
        <w:rPr>
          <w:rFonts w:ascii="Open Sans" w:hAnsi="Open Sans" w:cs="Open Sans"/>
          <w:sz w:val="16"/>
          <w:szCs w:val="16"/>
        </w:rPr>
        <w:t>Fundusze Europejskie na Infrastrukturę, Klimat, Środowisko 2021–2027 (Dz. U. poz. 2557)</w:t>
      </w:r>
      <w:r w:rsidRPr="00FF2F45" w:rsidDel="00FF2F45">
        <w:rPr>
          <w:rFonts w:ascii="Open Sans" w:hAnsi="Open Sans" w:cs="Open Sans"/>
          <w:sz w:val="16"/>
          <w:szCs w:val="16"/>
        </w:rPr>
        <w:t xml:space="preserve"> </w:t>
      </w:r>
      <w:r w:rsidRPr="00262725">
        <w:rPr>
          <w:rFonts w:ascii="Open Sans" w:hAnsi="Open Sans" w:cs="Open Sans"/>
          <w:sz w:val="16"/>
          <w:szCs w:val="16"/>
        </w:rPr>
        <w:t>.</w:t>
      </w:r>
    </w:p>
  </w:footnote>
  <w:footnote w:id="5">
    <w:p w14:paraId="0D6DA05B" w14:textId="47892AEA" w:rsidR="009A0386" w:rsidRPr="00C60F82" w:rsidRDefault="009A0386" w:rsidP="00F72CD5">
      <w:pPr>
        <w:pStyle w:val="Tekstprzypisudolnego"/>
        <w:ind w:left="142" w:hanging="142"/>
        <w:jc w:val="both"/>
      </w:pPr>
      <w:r w:rsidRPr="00262725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62725">
        <w:rPr>
          <w:rFonts w:ascii="Open Sans" w:hAnsi="Open Sans" w:cs="Open Sans"/>
          <w:sz w:val="16"/>
          <w:szCs w:val="16"/>
        </w:rPr>
        <w:t xml:space="preserve"> Warunki udzielania pomocy de minimis są określone w rozporządzeniu Komisji (UE)</w:t>
      </w:r>
      <w:r w:rsidRPr="00FF2F45">
        <w:t xml:space="preserve"> </w:t>
      </w:r>
      <w:r w:rsidRPr="00FF2F45">
        <w:rPr>
          <w:rFonts w:ascii="Open Sans" w:hAnsi="Open Sans" w:cs="Open Sans"/>
          <w:sz w:val="16"/>
          <w:szCs w:val="16"/>
        </w:rPr>
        <w:t>2023/2831 z dnia 13 grudnia 2023 r.</w:t>
      </w:r>
      <w:r w:rsidRPr="00262725">
        <w:rPr>
          <w:rFonts w:ascii="Open Sans" w:hAnsi="Open Sans" w:cs="Open Sans"/>
          <w:sz w:val="16"/>
          <w:szCs w:val="16"/>
        </w:rPr>
        <w:t xml:space="preserve"> w sprawie stosowania art. 107 i 108 Traktatu o funkcjonowaniu Unii Europejskiej do pomocy de minimis.</w:t>
      </w:r>
    </w:p>
  </w:footnote>
  <w:footnote w:id="6">
    <w:p w14:paraId="53229E2B" w14:textId="57365F32" w:rsidR="009A0386" w:rsidRPr="00100C98" w:rsidRDefault="009A0386" w:rsidP="00F0330D">
      <w:pPr>
        <w:pStyle w:val="Tekstprzypisudolnego"/>
        <w:ind w:left="142" w:hanging="142"/>
        <w:jc w:val="both"/>
        <w:rPr>
          <w:rFonts w:ascii="Open Sans" w:hAnsi="Open Sans" w:cs="Open Sans"/>
          <w:sz w:val="16"/>
          <w:szCs w:val="16"/>
        </w:rPr>
      </w:pPr>
      <w:r w:rsidRPr="00F0330D">
        <w:rPr>
          <w:rFonts w:ascii="Open Sans" w:hAnsi="Open Sans" w:cs="Open Sans"/>
          <w:sz w:val="16"/>
          <w:szCs w:val="16"/>
        </w:rPr>
        <w:footnoteRef/>
      </w:r>
      <w:r w:rsidRPr="00F0330D">
        <w:rPr>
          <w:rFonts w:ascii="Open Sans" w:hAnsi="Open Sans" w:cs="Open Sans"/>
          <w:sz w:val="16"/>
          <w:szCs w:val="16"/>
        </w:rPr>
        <w:t xml:space="preserve"> „Luka w finansowaniu” zdefiniowana jest w art. 2 ust. 118 rozporządzenia Komisji (UE) nr 651/2014 z dnia 17 czerwca 2014 r. uznającego niektóre rodzaje pomocy za zgodne z rynkiem wewnętrznym w zastosowaniu art. 107 i 108 Traktatu.  Odpowiada ona różnicy pomiędzy wartością bieżącą netto (NPV – z ang. Net Present Value) scenariusza faktycznego, tj. scenariusza zakładającego realizację projektu objętego wnioskiem, a wartością bieżącą netto (NPV) scenariusza alternatywnego, tj. scenariusza, jaki byłby realizowany przez Wnioskodawcę, gdyby pomoc nie została udzielona. W przypadku pomocy na sieć dystrybucji ciepła zakłada się, że scenariusz alternatywny odpowiada wariantowi bez żadnych inwestycji (dla którego NPV = 0) </w:t>
      </w:r>
      <w:r>
        <w:rPr>
          <w:rFonts w:ascii="Open Sans" w:hAnsi="Open Sans" w:cs="Open Sans"/>
          <w:sz w:val="16"/>
          <w:szCs w:val="16"/>
        </w:rPr>
        <w:t>(z</w:t>
      </w:r>
      <w:r w:rsidRPr="00F0330D">
        <w:rPr>
          <w:rFonts w:ascii="Open Sans" w:hAnsi="Open Sans" w:cs="Open Sans"/>
          <w:sz w:val="16"/>
          <w:szCs w:val="16"/>
        </w:rPr>
        <w:t xml:space="preserve">godnie z przypisem 39 w dokumencie „RECOVERY AND RESILIENCE FACILITY – STATE AID, Guiding template: District heating/cooling generation and distribution infrastructure” dostępnym na stronie: </w:t>
      </w:r>
      <w:hyperlink r:id="rId1" w:history="1">
        <w:r w:rsidRPr="00F0330D">
          <w:rPr>
            <w:rStyle w:val="Hipercze"/>
            <w:rFonts w:ascii="Open Sans" w:hAnsi="Open Sans" w:cs="Open Sans"/>
            <w:sz w:val="16"/>
            <w:szCs w:val="16"/>
          </w:rPr>
          <w:t>https://competition-policy.ec.europa.eu/state-aid/legislation/rrf-guiding-templates_en</w:t>
        </w:r>
      </w:hyperlink>
      <w:r w:rsidRPr="00F0330D">
        <w:rPr>
          <w:rStyle w:val="Hipercze"/>
          <w:rFonts w:ascii="Open Sans" w:hAnsi="Open Sans" w:cs="Open Sans"/>
          <w:sz w:val="16"/>
          <w:szCs w:val="16"/>
        </w:rPr>
        <w:t>)</w:t>
      </w:r>
      <w:r w:rsidR="00525EE4" w:rsidRPr="00100C98">
        <w:t xml:space="preserve">. </w:t>
      </w:r>
      <w:r w:rsidR="00525EE4" w:rsidRPr="00100C98">
        <w:rPr>
          <w:rFonts w:ascii="Open Sans" w:hAnsi="Open Sans" w:cs="Open Sans"/>
          <w:sz w:val="16"/>
          <w:szCs w:val="16"/>
        </w:rPr>
        <w:t>Luka w finansowaniu odpowiada ujemnej wartości NPV, tj. przykładowo gdy NPV wynosi -1 mln zł, oznacza to, że luka w finansowaniu wynosi 1 mln zł.</w:t>
      </w:r>
    </w:p>
  </w:footnote>
  <w:footnote w:id="7">
    <w:p w14:paraId="41AD7D0E" w14:textId="77777777" w:rsidR="009A0386" w:rsidRPr="00262725" w:rsidRDefault="009A0386" w:rsidP="00F0330D">
      <w:pPr>
        <w:pStyle w:val="Tekstprzypisudolnego"/>
        <w:ind w:left="125" w:hanging="125"/>
        <w:jc w:val="both"/>
        <w:rPr>
          <w:rFonts w:ascii="Open Sans" w:hAnsi="Open Sans" w:cs="Open Sans"/>
          <w:sz w:val="16"/>
          <w:szCs w:val="16"/>
        </w:rPr>
      </w:pPr>
      <w:r w:rsidRPr="00262725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62725">
        <w:rPr>
          <w:rFonts w:ascii="Open Sans" w:hAnsi="Open Sans" w:cs="Open Sans"/>
          <w:sz w:val="16"/>
          <w:szCs w:val="16"/>
        </w:rPr>
        <w:t xml:space="preserve"> Przyjęto, że zasadne jest zastosowanie średniego ważonego kosztu kapitału przed opodatkowaniem, na podstawie „Informacji Prezesa Urzędu Regulacji Energetyki nr 65/2022 w sprawie zasad i sposobu ustalania oraz uwzględniania w taryfach dla ciepła zwrotu z kapitału (kosztu kapitału) na lata 2023-2025” (</w:t>
      </w:r>
      <w:hyperlink r:id="rId2" w:history="1">
        <w:r w:rsidRPr="00262725">
          <w:rPr>
            <w:rStyle w:val="Hipercze"/>
            <w:rFonts w:ascii="Open Sans" w:hAnsi="Open Sans" w:cs="Open Sans"/>
            <w:sz w:val="16"/>
            <w:szCs w:val="16"/>
          </w:rPr>
          <w:t>https://www.ure.gov.pl/pl/urzad/informacje-ogolne/komunikaty-prezesa-ure/10767,Informacja-nr-652022.html</w:t>
        </w:r>
      </w:hyperlink>
      <w:r w:rsidRPr="00262725">
        <w:rPr>
          <w:rFonts w:ascii="Open Sans" w:hAnsi="Open Sans" w:cs="Open Sans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6647A" w14:textId="3C2FB05B" w:rsidR="009A0386" w:rsidRDefault="009A0386">
    <w:pPr>
      <w:pStyle w:val="Nagwek"/>
    </w:pPr>
    <w:r w:rsidRPr="008D1F67">
      <w:rPr>
        <w:rFonts w:ascii="Open Sans Light" w:hAnsi="Open Sans Light" w:cs="Open Sans Light"/>
        <w:b/>
        <w:bCs/>
        <w:noProof/>
        <w:kern w:val="28"/>
        <w:sz w:val="32"/>
        <w:szCs w:val="32"/>
        <w:lang w:eastAsia="pl-PL"/>
      </w:rPr>
      <w:drawing>
        <wp:anchor distT="0" distB="0" distL="114300" distR="114300" simplePos="0" relativeHeight="251659264" behindDoc="0" locked="0" layoutInCell="1" allowOverlap="1" wp14:anchorId="0C8D6555" wp14:editId="2775324A">
          <wp:simplePos x="0" y="0"/>
          <wp:positionH relativeFrom="margin">
            <wp:posOffset>0</wp:posOffset>
          </wp:positionH>
          <wp:positionV relativeFrom="paragraph">
            <wp:posOffset>166370</wp:posOffset>
          </wp:positionV>
          <wp:extent cx="5760720" cy="594995"/>
          <wp:effectExtent l="0" t="0" r="0" b="0"/>
          <wp:wrapSquare wrapText="left"/>
          <wp:docPr id="410340609" name="Obraz 410340609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B1F58"/>
    <w:multiLevelType w:val="hybridMultilevel"/>
    <w:tmpl w:val="A3964DF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228FC"/>
    <w:multiLevelType w:val="hybridMultilevel"/>
    <w:tmpl w:val="2C24E9A0"/>
    <w:lvl w:ilvl="0" w:tplc="46EAD7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7141E1"/>
    <w:multiLevelType w:val="hybridMultilevel"/>
    <w:tmpl w:val="76B09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15A9D9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B0D37"/>
    <w:multiLevelType w:val="hybridMultilevel"/>
    <w:tmpl w:val="07E8B9E0"/>
    <w:lvl w:ilvl="0" w:tplc="8C9482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D3EE8"/>
    <w:multiLevelType w:val="hybridMultilevel"/>
    <w:tmpl w:val="BC220F14"/>
    <w:lvl w:ilvl="0" w:tplc="9FEC98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D3317"/>
    <w:multiLevelType w:val="hybridMultilevel"/>
    <w:tmpl w:val="38E2BA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8E1279"/>
    <w:multiLevelType w:val="hybridMultilevel"/>
    <w:tmpl w:val="A3964DF6"/>
    <w:lvl w:ilvl="0" w:tplc="7C2E55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86E0B"/>
    <w:multiLevelType w:val="hybridMultilevel"/>
    <w:tmpl w:val="9D02D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E05BD"/>
    <w:multiLevelType w:val="hybridMultilevel"/>
    <w:tmpl w:val="8BB873E8"/>
    <w:lvl w:ilvl="0" w:tplc="561AB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FD298B"/>
    <w:multiLevelType w:val="hybridMultilevel"/>
    <w:tmpl w:val="E0C47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E6F13"/>
    <w:multiLevelType w:val="hybridMultilevel"/>
    <w:tmpl w:val="BD88973A"/>
    <w:lvl w:ilvl="0" w:tplc="62526478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C9E32B7"/>
    <w:multiLevelType w:val="hybridMultilevel"/>
    <w:tmpl w:val="A3964DF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D8049B"/>
    <w:multiLevelType w:val="hybridMultilevel"/>
    <w:tmpl w:val="D37E3AE8"/>
    <w:lvl w:ilvl="0" w:tplc="561AB8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23D3A"/>
    <w:multiLevelType w:val="hybridMultilevel"/>
    <w:tmpl w:val="1CC62C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E6618"/>
    <w:multiLevelType w:val="hybridMultilevel"/>
    <w:tmpl w:val="A33CBD04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80046060">
    <w:abstractNumId w:val="8"/>
  </w:num>
  <w:num w:numId="2" w16cid:durableId="1601180883">
    <w:abstractNumId w:val="5"/>
  </w:num>
  <w:num w:numId="3" w16cid:durableId="1363168912">
    <w:abstractNumId w:val="9"/>
  </w:num>
  <w:num w:numId="4" w16cid:durableId="717242238">
    <w:abstractNumId w:val="12"/>
  </w:num>
  <w:num w:numId="5" w16cid:durableId="1741705544">
    <w:abstractNumId w:val="4"/>
  </w:num>
  <w:num w:numId="6" w16cid:durableId="1783917151">
    <w:abstractNumId w:val="13"/>
  </w:num>
  <w:num w:numId="7" w16cid:durableId="2098018358">
    <w:abstractNumId w:val="10"/>
  </w:num>
  <w:num w:numId="8" w16cid:durableId="1047921456">
    <w:abstractNumId w:val="3"/>
  </w:num>
  <w:num w:numId="9" w16cid:durableId="1355837888">
    <w:abstractNumId w:val="7"/>
  </w:num>
  <w:num w:numId="10" w16cid:durableId="1545755661">
    <w:abstractNumId w:val="6"/>
  </w:num>
  <w:num w:numId="11" w16cid:durableId="1097673908">
    <w:abstractNumId w:val="11"/>
  </w:num>
  <w:num w:numId="12" w16cid:durableId="256913852">
    <w:abstractNumId w:val="0"/>
  </w:num>
  <w:num w:numId="13" w16cid:durableId="1006712882">
    <w:abstractNumId w:val="2"/>
  </w:num>
  <w:num w:numId="14" w16cid:durableId="252398880">
    <w:abstractNumId w:val="14"/>
  </w:num>
  <w:num w:numId="15" w16cid:durableId="735711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0CD"/>
    <w:rsid w:val="000110B0"/>
    <w:rsid w:val="00032671"/>
    <w:rsid w:val="00035C7E"/>
    <w:rsid w:val="0004058E"/>
    <w:rsid w:val="0004201F"/>
    <w:rsid w:val="000516FB"/>
    <w:rsid w:val="00067EBF"/>
    <w:rsid w:val="000758E9"/>
    <w:rsid w:val="000777B7"/>
    <w:rsid w:val="00077D01"/>
    <w:rsid w:val="00087320"/>
    <w:rsid w:val="000904F1"/>
    <w:rsid w:val="000B4507"/>
    <w:rsid w:val="000C2BA2"/>
    <w:rsid w:val="000D1901"/>
    <w:rsid w:val="000F1DDD"/>
    <w:rsid w:val="00100C98"/>
    <w:rsid w:val="00101C23"/>
    <w:rsid w:val="001029DF"/>
    <w:rsid w:val="00121A73"/>
    <w:rsid w:val="00136615"/>
    <w:rsid w:val="00137FC2"/>
    <w:rsid w:val="0015405C"/>
    <w:rsid w:val="0016436F"/>
    <w:rsid w:val="001942EF"/>
    <w:rsid w:val="0019603E"/>
    <w:rsid w:val="001D2EF1"/>
    <w:rsid w:val="001F20D9"/>
    <w:rsid w:val="001F6D16"/>
    <w:rsid w:val="00206131"/>
    <w:rsid w:val="00222FFA"/>
    <w:rsid w:val="002239CF"/>
    <w:rsid w:val="002268E5"/>
    <w:rsid w:val="00242A25"/>
    <w:rsid w:val="00242ADB"/>
    <w:rsid w:val="00246444"/>
    <w:rsid w:val="00253A06"/>
    <w:rsid w:val="00262725"/>
    <w:rsid w:val="0026712A"/>
    <w:rsid w:val="00280F87"/>
    <w:rsid w:val="00281FE9"/>
    <w:rsid w:val="00283E71"/>
    <w:rsid w:val="00295900"/>
    <w:rsid w:val="00296C92"/>
    <w:rsid w:val="002A7135"/>
    <w:rsid w:val="002C2D98"/>
    <w:rsid w:val="002D040E"/>
    <w:rsid w:val="002D7396"/>
    <w:rsid w:val="002F1E76"/>
    <w:rsid w:val="0031391C"/>
    <w:rsid w:val="00316CB4"/>
    <w:rsid w:val="0032354B"/>
    <w:rsid w:val="00333E0A"/>
    <w:rsid w:val="00340988"/>
    <w:rsid w:val="00346BEF"/>
    <w:rsid w:val="003512E9"/>
    <w:rsid w:val="00352172"/>
    <w:rsid w:val="00362AFD"/>
    <w:rsid w:val="00396F63"/>
    <w:rsid w:val="003A0443"/>
    <w:rsid w:val="003C6572"/>
    <w:rsid w:val="003C6DBD"/>
    <w:rsid w:val="003D78AA"/>
    <w:rsid w:val="003E3BC2"/>
    <w:rsid w:val="003E57CA"/>
    <w:rsid w:val="003F607B"/>
    <w:rsid w:val="004015B8"/>
    <w:rsid w:val="00402B5A"/>
    <w:rsid w:val="00403241"/>
    <w:rsid w:val="00414ECF"/>
    <w:rsid w:val="004440D1"/>
    <w:rsid w:val="004557A2"/>
    <w:rsid w:val="0046478D"/>
    <w:rsid w:val="00480840"/>
    <w:rsid w:val="0048711F"/>
    <w:rsid w:val="00487E79"/>
    <w:rsid w:val="004A45EF"/>
    <w:rsid w:val="004B5C6B"/>
    <w:rsid w:val="004C63C0"/>
    <w:rsid w:val="004D0F13"/>
    <w:rsid w:val="004D1FEA"/>
    <w:rsid w:val="004D2FBE"/>
    <w:rsid w:val="004E2923"/>
    <w:rsid w:val="004F2FC6"/>
    <w:rsid w:val="005160EE"/>
    <w:rsid w:val="0051794B"/>
    <w:rsid w:val="00522031"/>
    <w:rsid w:val="00523D98"/>
    <w:rsid w:val="00525EE4"/>
    <w:rsid w:val="00527E3C"/>
    <w:rsid w:val="00532A0B"/>
    <w:rsid w:val="00550019"/>
    <w:rsid w:val="00551218"/>
    <w:rsid w:val="00552EFB"/>
    <w:rsid w:val="00553EC9"/>
    <w:rsid w:val="005576A0"/>
    <w:rsid w:val="00557946"/>
    <w:rsid w:val="005605DB"/>
    <w:rsid w:val="00574C40"/>
    <w:rsid w:val="005A5D46"/>
    <w:rsid w:val="005B7EDD"/>
    <w:rsid w:val="005C595A"/>
    <w:rsid w:val="005D35D0"/>
    <w:rsid w:val="005D3E46"/>
    <w:rsid w:val="005F7DEA"/>
    <w:rsid w:val="006028A4"/>
    <w:rsid w:val="00622211"/>
    <w:rsid w:val="0062411F"/>
    <w:rsid w:val="0063319C"/>
    <w:rsid w:val="00635908"/>
    <w:rsid w:val="00640CD3"/>
    <w:rsid w:val="00652217"/>
    <w:rsid w:val="00670BA4"/>
    <w:rsid w:val="006712D8"/>
    <w:rsid w:val="006A4274"/>
    <w:rsid w:val="006B1AD4"/>
    <w:rsid w:val="006B3692"/>
    <w:rsid w:val="006B395C"/>
    <w:rsid w:val="006C4A3A"/>
    <w:rsid w:val="006E10DA"/>
    <w:rsid w:val="006E519C"/>
    <w:rsid w:val="006E73DA"/>
    <w:rsid w:val="006F119E"/>
    <w:rsid w:val="006F25FD"/>
    <w:rsid w:val="006F4444"/>
    <w:rsid w:val="006F5EAD"/>
    <w:rsid w:val="007069BC"/>
    <w:rsid w:val="00713CE9"/>
    <w:rsid w:val="007216E7"/>
    <w:rsid w:val="00753276"/>
    <w:rsid w:val="00774189"/>
    <w:rsid w:val="00795EDD"/>
    <w:rsid w:val="007B4FE2"/>
    <w:rsid w:val="007B6761"/>
    <w:rsid w:val="007C2E19"/>
    <w:rsid w:val="007D447C"/>
    <w:rsid w:val="007D71D0"/>
    <w:rsid w:val="007F2F45"/>
    <w:rsid w:val="00811CF4"/>
    <w:rsid w:val="00824654"/>
    <w:rsid w:val="00824691"/>
    <w:rsid w:val="00835523"/>
    <w:rsid w:val="00836EB0"/>
    <w:rsid w:val="00837E5A"/>
    <w:rsid w:val="00843EC6"/>
    <w:rsid w:val="00844D88"/>
    <w:rsid w:val="00862649"/>
    <w:rsid w:val="00864E99"/>
    <w:rsid w:val="008676B4"/>
    <w:rsid w:val="00883D73"/>
    <w:rsid w:val="00884424"/>
    <w:rsid w:val="0088640A"/>
    <w:rsid w:val="008C3BFC"/>
    <w:rsid w:val="008D1465"/>
    <w:rsid w:val="008F0BC1"/>
    <w:rsid w:val="008F0F3E"/>
    <w:rsid w:val="008F19DC"/>
    <w:rsid w:val="008F5652"/>
    <w:rsid w:val="00915FF9"/>
    <w:rsid w:val="0093758F"/>
    <w:rsid w:val="0095189C"/>
    <w:rsid w:val="009564AD"/>
    <w:rsid w:val="00957B4E"/>
    <w:rsid w:val="009664C5"/>
    <w:rsid w:val="00972035"/>
    <w:rsid w:val="009770A2"/>
    <w:rsid w:val="00980F2E"/>
    <w:rsid w:val="009853C9"/>
    <w:rsid w:val="009908CC"/>
    <w:rsid w:val="009936CD"/>
    <w:rsid w:val="009A0386"/>
    <w:rsid w:val="009A12A9"/>
    <w:rsid w:val="009A2920"/>
    <w:rsid w:val="009A4F60"/>
    <w:rsid w:val="009B3AC7"/>
    <w:rsid w:val="009B6F43"/>
    <w:rsid w:val="009F7F19"/>
    <w:rsid w:val="00A03B01"/>
    <w:rsid w:val="00A06EF0"/>
    <w:rsid w:val="00A21744"/>
    <w:rsid w:val="00A21EA4"/>
    <w:rsid w:val="00A25109"/>
    <w:rsid w:val="00A27906"/>
    <w:rsid w:val="00A36D3D"/>
    <w:rsid w:val="00A42D70"/>
    <w:rsid w:val="00A63C88"/>
    <w:rsid w:val="00A82DAF"/>
    <w:rsid w:val="00A94B8B"/>
    <w:rsid w:val="00AA5A7F"/>
    <w:rsid w:val="00AB59C2"/>
    <w:rsid w:val="00AB6957"/>
    <w:rsid w:val="00AC5C0C"/>
    <w:rsid w:val="00AD0B19"/>
    <w:rsid w:val="00AD6C52"/>
    <w:rsid w:val="00AF3B59"/>
    <w:rsid w:val="00B0228B"/>
    <w:rsid w:val="00B07540"/>
    <w:rsid w:val="00B10681"/>
    <w:rsid w:val="00B212C1"/>
    <w:rsid w:val="00B405F9"/>
    <w:rsid w:val="00B44907"/>
    <w:rsid w:val="00B529A2"/>
    <w:rsid w:val="00B55521"/>
    <w:rsid w:val="00B63489"/>
    <w:rsid w:val="00B7077B"/>
    <w:rsid w:val="00B72814"/>
    <w:rsid w:val="00B83739"/>
    <w:rsid w:val="00B848EF"/>
    <w:rsid w:val="00B857D0"/>
    <w:rsid w:val="00B93B31"/>
    <w:rsid w:val="00B95012"/>
    <w:rsid w:val="00B95926"/>
    <w:rsid w:val="00B97ED1"/>
    <w:rsid w:val="00BC4E29"/>
    <w:rsid w:val="00BC7F8B"/>
    <w:rsid w:val="00BE02C9"/>
    <w:rsid w:val="00BE6EF5"/>
    <w:rsid w:val="00C12AE8"/>
    <w:rsid w:val="00C212F2"/>
    <w:rsid w:val="00C233A3"/>
    <w:rsid w:val="00C300A1"/>
    <w:rsid w:val="00C310A9"/>
    <w:rsid w:val="00C3114B"/>
    <w:rsid w:val="00C35B86"/>
    <w:rsid w:val="00C368F4"/>
    <w:rsid w:val="00C4298C"/>
    <w:rsid w:val="00C46FD7"/>
    <w:rsid w:val="00C55F2F"/>
    <w:rsid w:val="00C60F82"/>
    <w:rsid w:val="00C64529"/>
    <w:rsid w:val="00C651B1"/>
    <w:rsid w:val="00C74EAC"/>
    <w:rsid w:val="00C81AF9"/>
    <w:rsid w:val="00C972B0"/>
    <w:rsid w:val="00CA4338"/>
    <w:rsid w:val="00CA68C1"/>
    <w:rsid w:val="00CB6C18"/>
    <w:rsid w:val="00CE5526"/>
    <w:rsid w:val="00CF17CC"/>
    <w:rsid w:val="00CF4D51"/>
    <w:rsid w:val="00CF7509"/>
    <w:rsid w:val="00D06AA2"/>
    <w:rsid w:val="00D160C1"/>
    <w:rsid w:val="00D24D18"/>
    <w:rsid w:val="00D46B23"/>
    <w:rsid w:val="00D479F6"/>
    <w:rsid w:val="00D55871"/>
    <w:rsid w:val="00D57809"/>
    <w:rsid w:val="00D70972"/>
    <w:rsid w:val="00D730CD"/>
    <w:rsid w:val="00D97442"/>
    <w:rsid w:val="00D97673"/>
    <w:rsid w:val="00DB0BD0"/>
    <w:rsid w:val="00DF696B"/>
    <w:rsid w:val="00E0502F"/>
    <w:rsid w:val="00E15570"/>
    <w:rsid w:val="00E272D3"/>
    <w:rsid w:val="00E31588"/>
    <w:rsid w:val="00E6349A"/>
    <w:rsid w:val="00E861A0"/>
    <w:rsid w:val="00E96783"/>
    <w:rsid w:val="00E97913"/>
    <w:rsid w:val="00E97EEB"/>
    <w:rsid w:val="00EA0D4D"/>
    <w:rsid w:val="00EB7037"/>
    <w:rsid w:val="00ED3386"/>
    <w:rsid w:val="00ED6CEE"/>
    <w:rsid w:val="00EE5E22"/>
    <w:rsid w:val="00F02D1C"/>
    <w:rsid w:val="00F0330D"/>
    <w:rsid w:val="00F15F7E"/>
    <w:rsid w:val="00F17670"/>
    <w:rsid w:val="00F2013A"/>
    <w:rsid w:val="00F2412D"/>
    <w:rsid w:val="00F24E53"/>
    <w:rsid w:val="00F40CAD"/>
    <w:rsid w:val="00F46905"/>
    <w:rsid w:val="00F505F8"/>
    <w:rsid w:val="00F5229B"/>
    <w:rsid w:val="00F56762"/>
    <w:rsid w:val="00F568E0"/>
    <w:rsid w:val="00F61DE8"/>
    <w:rsid w:val="00F631AB"/>
    <w:rsid w:val="00F640AB"/>
    <w:rsid w:val="00F72CD5"/>
    <w:rsid w:val="00F87054"/>
    <w:rsid w:val="00FA00F2"/>
    <w:rsid w:val="00FB307F"/>
    <w:rsid w:val="00FC1C0C"/>
    <w:rsid w:val="00FE3EA5"/>
    <w:rsid w:val="00FE6ADB"/>
    <w:rsid w:val="00FF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0FA834D"/>
  <w15:chartTrackingRefBased/>
  <w15:docId w15:val="{087A2CBC-8C99-45BB-8A28-238BF2F7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2D70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E5E2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6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60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60EE"/>
    <w:rPr>
      <w:vertAlign w:val="superscript"/>
    </w:rPr>
  </w:style>
  <w:style w:type="paragraph" w:styleId="Akapitzlist">
    <w:name w:val="List Paragraph"/>
    <w:aliases w:val="Dot pt,F5 List Paragraph,List Paragraph1,Recommendation,List Paragraph11,Kolorowa lista — akcent 11,Numerowanie,Normalny punktowany,Akapit z listą11,Numbered Para 1,No Spacing1,List Paragraph Char Char Char"/>
    <w:basedOn w:val="Normalny"/>
    <w:link w:val="AkapitzlistZnak"/>
    <w:uiPriority w:val="34"/>
    <w:qFormat/>
    <w:rsid w:val="00574C40"/>
    <w:pPr>
      <w:ind w:left="720"/>
      <w:contextualSpacing/>
    </w:pPr>
  </w:style>
  <w:style w:type="paragraph" w:styleId="Poprawka">
    <w:name w:val="Revision"/>
    <w:hidden/>
    <w:uiPriority w:val="99"/>
    <w:semiHidden/>
    <w:rsid w:val="00D06AA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6A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6A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6A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6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6A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9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9A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3DA"/>
  </w:style>
  <w:style w:type="paragraph" w:styleId="Stopka">
    <w:name w:val="footer"/>
    <w:basedOn w:val="Normalny"/>
    <w:link w:val="Stopka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3DA"/>
  </w:style>
  <w:style w:type="character" w:styleId="UyteHipercze">
    <w:name w:val="FollowedHyperlink"/>
    <w:basedOn w:val="Domylnaczcionkaakapitu"/>
    <w:uiPriority w:val="99"/>
    <w:semiHidden/>
    <w:unhideWhenUsed/>
    <w:rsid w:val="00136615"/>
    <w:rPr>
      <w:color w:val="954F72" w:themeColor="followedHyperlink"/>
      <w:u w:val="single"/>
    </w:rPr>
  </w:style>
  <w:style w:type="character" w:customStyle="1" w:styleId="AkapitzlistZnak">
    <w:name w:val="Akapit z listą Znak"/>
    <w:aliases w:val="Dot pt Znak,F5 List Paragraph Znak,List Paragraph1 Znak,Recommendation Znak,List Paragraph11 Znak,Kolorowa lista — akcent 11 Znak,Numerowanie Znak,Normalny punktowany Znak,Akapit z listą11 Znak,Numbered Para 1 Znak,No Spacing1 Znak"/>
    <w:link w:val="Akapitzlist"/>
    <w:uiPriority w:val="34"/>
    <w:qFormat/>
    <w:locked/>
    <w:rsid w:val="00B93B31"/>
  </w:style>
  <w:style w:type="character" w:customStyle="1" w:styleId="ui-provider">
    <w:name w:val="ui-provider"/>
    <w:basedOn w:val="Domylnaczcionkaakapitu"/>
    <w:rsid w:val="00B93B31"/>
  </w:style>
  <w:style w:type="paragraph" w:customStyle="1" w:styleId="pf0">
    <w:name w:val="pf0"/>
    <w:basedOn w:val="Normalny"/>
    <w:rsid w:val="00B93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ure.gov.pl/pl/urzad/informacje-ogolne/komunikaty-prezesa-ure/10767,Informacja-nr-652022.html" TargetMode="External"/><Relationship Id="rId1" Type="http://schemas.openxmlformats.org/officeDocument/2006/relationships/hyperlink" Target="https://competition-policy.ec.europa.eu/state-aid/legislation/rrf-guiding-templates_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31CA9-4773-431D-AFDA-3540C0F6D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2044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Ruciński Piotr</dc:creator>
  <cp:keywords/>
  <dc:description/>
  <cp:lastModifiedBy>Ruciński Piotr</cp:lastModifiedBy>
  <cp:revision>3</cp:revision>
  <dcterms:created xsi:type="dcterms:W3CDTF">2024-10-31T15:28:00Z</dcterms:created>
  <dcterms:modified xsi:type="dcterms:W3CDTF">2024-10-31T15:30:00Z</dcterms:modified>
</cp:coreProperties>
</file>